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5949" w14:textId="77777777" w:rsidR="000F209E" w:rsidRPr="000F209E" w:rsidRDefault="000F209E" w:rsidP="000F209E">
      <w:pPr>
        <w:tabs>
          <w:tab w:val="left" w:pos="142"/>
          <w:tab w:val="left" w:pos="284"/>
        </w:tabs>
        <w:spacing w:after="0" w:line="240" w:lineRule="auto"/>
        <w:jc w:val="center"/>
        <w:rPr>
          <w:rFonts w:eastAsia="Times New Roman"/>
          <w:bCs w:val="0"/>
          <w:kern w:val="0"/>
          <w:szCs w:val="20"/>
          <w:lang w:eastAsia="lv-LV"/>
          <w14:ligatures w14:val="none"/>
        </w:rPr>
      </w:pPr>
      <w:r w:rsidRPr="000F209E">
        <w:rPr>
          <w:rFonts w:eastAsia="Times New Roman"/>
          <w:bCs w:val="0"/>
          <w:noProof/>
          <w:kern w:val="0"/>
          <w:szCs w:val="20"/>
          <w:lang w:eastAsia="lv-LV"/>
          <w14:ligatures w14:val="none"/>
        </w:rPr>
        <w:drawing>
          <wp:inline distT="0" distB="0" distL="0" distR="0" wp14:anchorId="0AF09B1C" wp14:editId="579DB1C0">
            <wp:extent cx="666750" cy="7524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6932F0D3" w14:textId="77777777" w:rsidR="000F209E" w:rsidRPr="000F209E" w:rsidRDefault="000F209E" w:rsidP="000F209E">
      <w:pPr>
        <w:spacing w:after="0" w:line="240" w:lineRule="auto"/>
        <w:jc w:val="center"/>
        <w:rPr>
          <w:rFonts w:eastAsia="Times New Roman"/>
          <w:bCs w:val="0"/>
          <w:spacing w:val="-20"/>
          <w:kern w:val="0"/>
          <w:sz w:val="32"/>
          <w:szCs w:val="32"/>
          <w:lang w:eastAsia="lv-LV"/>
          <w14:ligatures w14:val="none"/>
        </w:rPr>
      </w:pPr>
      <w:r w:rsidRPr="000F209E">
        <w:rPr>
          <w:rFonts w:ascii="Calibri" w:eastAsia="Calibri" w:hAnsi="Calibri"/>
          <w:bCs w:val="0"/>
          <w:noProof/>
          <w:kern w:val="0"/>
          <w:sz w:val="22"/>
          <w:szCs w:val="22"/>
          <w:lang w:eastAsia="lv-LV"/>
          <w14:ligatures w14:val="none"/>
        </w:rPr>
        <mc:AlternateContent>
          <mc:Choice Requires="wps">
            <w:drawing>
              <wp:anchor distT="4294967295" distB="4294967295" distL="114300" distR="114300" simplePos="0" relativeHeight="251659264" behindDoc="0" locked="0" layoutInCell="1" allowOverlap="1" wp14:anchorId="4EAE4C59" wp14:editId="0FB3E221">
                <wp:simplePos x="0" y="0"/>
                <wp:positionH relativeFrom="column">
                  <wp:posOffset>-821055</wp:posOffset>
                </wp:positionH>
                <wp:positionV relativeFrom="paragraph">
                  <wp:posOffset>259714</wp:posOffset>
                </wp:positionV>
                <wp:extent cx="6858000" cy="0"/>
                <wp:effectExtent l="0" t="0" r="0" b="0"/>
                <wp:wrapNone/>
                <wp:docPr id="19"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026D8" id="_x0000_t32" coordsize="21600,21600" o:spt="32" o:oned="t" path="m,l21600,21600e" filled="f">
                <v:path arrowok="t" fillok="f" o:connecttype="none"/>
                <o:lock v:ext="edit" shapetype="t"/>
              </v:shapetype>
              <v:shape id="Taisns bultveida savienotājs 19"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F209E">
        <w:rPr>
          <w:rFonts w:eastAsia="Times New Roman"/>
          <w:bCs w:val="0"/>
          <w:spacing w:val="-20"/>
          <w:kern w:val="0"/>
          <w:sz w:val="32"/>
          <w:szCs w:val="32"/>
          <w:lang w:eastAsia="lv-LV"/>
          <w14:ligatures w14:val="none"/>
        </w:rPr>
        <w:t>LĪVĀNU NOVADA PAŠVALDĪBA</w:t>
      </w:r>
    </w:p>
    <w:p w14:paraId="624DCE67" w14:textId="77777777" w:rsidR="000F209E" w:rsidRPr="000F209E" w:rsidRDefault="000F209E" w:rsidP="000F209E">
      <w:pPr>
        <w:spacing w:after="0" w:line="240" w:lineRule="auto"/>
        <w:jc w:val="center"/>
        <w:rPr>
          <w:rFonts w:eastAsia="Times New Roman"/>
          <w:bCs w:val="0"/>
          <w:kern w:val="0"/>
          <w:sz w:val="20"/>
          <w:szCs w:val="20"/>
          <w:lang w:eastAsia="lv-LV"/>
          <w14:ligatures w14:val="none"/>
        </w:rPr>
      </w:pPr>
      <w:r w:rsidRPr="000F209E">
        <w:rPr>
          <w:rFonts w:eastAsia="Times New Roman"/>
          <w:bCs w:val="0"/>
          <w:kern w:val="0"/>
          <w:sz w:val="20"/>
          <w:szCs w:val="20"/>
          <w:lang w:eastAsia="lv-LV"/>
          <w14:ligatures w14:val="none"/>
        </w:rPr>
        <w:t>Reģistrācijas Nr. 90000065595, Rīgas iela 77, Līvāni, Līvānu novads, LV – 5316,</w:t>
      </w:r>
    </w:p>
    <w:p w14:paraId="5DF43A01" w14:textId="77777777" w:rsidR="000F209E" w:rsidRPr="000F209E" w:rsidRDefault="000F209E" w:rsidP="000F209E">
      <w:pPr>
        <w:spacing w:after="0" w:line="240" w:lineRule="auto"/>
        <w:jc w:val="center"/>
        <w:rPr>
          <w:rFonts w:eastAsia="Times New Roman"/>
          <w:bCs w:val="0"/>
          <w:kern w:val="0"/>
          <w:sz w:val="20"/>
          <w:szCs w:val="20"/>
          <w:lang w:eastAsia="lv-LV"/>
          <w14:ligatures w14:val="none"/>
        </w:rPr>
      </w:pPr>
      <w:r w:rsidRPr="000F209E">
        <w:rPr>
          <w:rFonts w:eastAsia="Times New Roman"/>
          <w:bCs w:val="0"/>
          <w:kern w:val="0"/>
          <w:sz w:val="20"/>
          <w:szCs w:val="20"/>
          <w:lang w:eastAsia="lv-LV"/>
          <w14:ligatures w14:val="none"/>
        </w:rPr>
        <w:t xml:space="preserve">tālr.: 65307250, e-pasts: </w:t>
      </w:r>
      <w:hyperlink r:id="rId8" w:history="1">
        <w:r w:rsidRPr="000F209E">
          <w:rPr>
            <w:rFonts w:eastAsia="Times New Roman"/>
            <w:bCs w:val="0"/>
            <w:color w:val="0000FF"/>
            <w:kern w:val="0"/>
            <w:sz w:val="20"/>
            <w:szCs w:val="20"/>
            <w:u w:val="single"/>
            <w:lang w:eastAsia="lv-LV"/>
            <w14:ligatures w14:val="none"/>
          </w:rPr>
          <w:t>pasts@livani.lv</w:t>
        </w:r>
      </w:hyperlink>
    </w:p>
    <w:p w14:paraId="7D622A7A" w14:textId="77777777" w:rsidR="000F209E" w:rsidRPr="000F209E" w:rsidRDefault="000F209E" w:rsidP="000F209E">
      <w:pPr>
        <w:rPr>
          <w:rFonts w:eastAsia="Calibri"/>
          <w:bCs w:val="0"/>
          <w:szCs w:val="24"/>
        </w:rPr>
      </w:pPr>
    </w:p>
    <w:p w14:paraId="3A047CA9" w14:textId="34F289D0" w:rsidR="000F209E" w:rsidRPr="000F209E" w:rsidRDefault="000F209E" w:rsidP="0043210E">
      <w:pPr>
        <w:spacing w:after="0"/>
        <w:jc w:val="center"/>
        <w:rPr>
          <w:rFonts w:eastAsia="Calibri"/>
          <w:b/>
          <w:szCs w:val="24"/>
        </w:rPr>
      </w:pPr>
      <w:r w:rsidRPr="000F209E">
        <w:rPr>
          <w:rFonts w:eastAsia="Times New Roman"/>
          <w:b/>
          <w:szCs w:val="24"/>
          <w:lang w:eastAsia="lv-LV"/>
        </w:rPr>
        <w:t xml:space="preserve">Līvānu novada pašvaldības domes </w:t>
      </w:r>
      <w:r w:rsidR="0043210E">
        <w:rPr>
          <w:rFonts w:eastAsia="Times New Roman"/>
          <w:b/>
          <w:szCs w:val="24"/>
          <w:lang w:eastAsia="lv-LV"/>
        </w:rPr>
        <w:t>202</w:t>
      </w:r>
      <w:r w:rsidR="00D13621">
        <w:rPr>
          <w:rFonts w:eastAsia="Times New Roman"/>
          <w:b/>
          <w:szCs w:val="24"/>
          <w:lang w:eastAsia="lv-LV"/>
        </w:rPr>
        <w:t>6</w:t>
      </w:r>
      <w:r w:rsidR="0043210E">
        <w:rPr>
          <w:rFonts w:eastAsia="Times New Roman"/>
          <w:b/>
          <w:szCs w:val="24"/>
          <w:lang w:eastAsia="lv-LV"/>
        </w:rPr>
        <w:t xml:space="preserve">. gada </w:t>
      </w:r>
      <w:r w:rsidR="00D13621">
        <w:rPr>
          <w:rFonts w:eastAsia="Times New Roman"/>
          <w:b/>
          <w:szCs w:val="24"/>
          <w:lang w:eastAsia="lv-LV"/>
        </w:rPr>
        <w:t>___</w:t>
      </w:r>
      <w:r w:rsidR="0043210E">
        <w:rPr>
          <w:rFonts w:eastAsia="Times New Roman"/>
          <w:b/>
          <w:szCs w:val="24"/>
          <w:lang w:eastAsia="lv-LV"/>
        </w:rPr>
        <w:t xml:space="preserve">. </w:t>
      </w:r>
      <w:r w:rsidR="00D13621">
        <w:rPr>
          <w:rFonts w:eastAsia="Times New Roman"/>
          <w:b/>
          <w:szCs w:val="24"/>
          <w:lang w:eastAsia="lv-LV"/>
        </w:rPr>
        <w:t>________</w:t>
      </w:r>
      <w:r w:rsidRPr="000F209E">
        <w:rPr>
          <w:rFonts w:eastAsia="Times New Roman"/>
          <w:b/>
          <w:szCs w:val="24"/>
          <w:lang w:eastAsia="lv-LV"/>
        </w:rPr>
        <w:t xml:space="preserve"> s</w:t>
      </w:r>
      <w:r w:rsidRPr="000F209E">
        <w:rPr>
          <w:rFonts w:eastAsia="Calibri"/>
          <w:b/>
          <w:szCs w:val="24"/>
        </w:rPr>
        <w:t>aistošo noteikumu Nr.</w:t>
      </w:r>
      <w:r w:rsidR="00D13621">
        <w:rPr>
          <w:rFonts w:eastAsia="Calibri"/>
          <w:b/>
          <w:szCs w:val="24"/>
        </w:rPr>
        <w:t xml:space="preserve"> ____</w:t>
      </w:r>
    </w:p>
    <w:p w14:paraId="592F406D" w14:textId="77777777" w:rsidR="000F209E" w:rsidRPr="000F209E" w:rsidRDefault="000F209E" w:rsidP="000F209E">
      <w:pPr>
        <w:spacing w:after="0"/>
        <w:ind w:firstLine="567"/>
        <w:jc w:val="center"/>
        <w:rPr>
          <w:rFonts w:eastAsia="Calibri"/>
          <w:b/>
          <w:szCs w:val="24"/>
        </w:rPr>
      </w:pPr>
      <w:r w:rsidRPr="000F209E">
        <w:rPr>
          <w:rFonts w:eastAsia="Calibri"/>
          <w:b/>
          <w:szCs w:val="24"/>
        </w:rPr>
        <w:t>“Līvānu novada pašvaldības līdzdalības budžeta nolikums”</w:t>
      </w:r>
    </w:p>
    <w:p w14:paraId="04C7780F" w14:textId="77777777" w:rsidR="000F209E" w:rsidRPr="000F209E" w:rsidRDefault="000F209E" w:rsidP="000F209E">
      <w:pPr>
        <w:spacing w:after="0"/>
        <w:ind w:firstLine="567"/>
        <w:jc w:val="center"/>
        <w:rPr>
          <w:rFonts w:eastAsia="Calibri"/>
          <w:b/>
          <w:szCs w:val="24"/>
        </w:rPr>
      </w:pPr>
      <w:r w:rsidRPr="000F209E">
        <w:rPr>
          <w:rFonts w:eastAsia="Calibri"/>
          <w:b/>
          <w:szCs w:val="24"/>
        </w:rPr>
        <w:t xml:space="preserve"> PASKAIDROJUMA RAKSTS</w:t>
      </w:r>
    </w:p>
    <w:p w14:paraId="73557E7C" w14:textId="77777777" w:rsidR="000F209E" w:rsidRPr="000F209E" w:rsidRDefault="000F209E" w:rsidP="000F209E">
      <w:pPr>
        <w:spacing w:after="0"/>
        <w:ind w:firstLine="567"/>
        <w:jc w:val="center"/>
        <w:rPr>
          <w:rFonts w:eastAsia="Calibri"/>
          <w:b/>
          <w:szCs w:val="24"/>
        </w:rPr>
      </w:pPr>
    </w:p>
    <w:tbl>
      <w:tblPr>
        <w:tblStyle w:val="Reatabula1"/>
        <w:tblW w:w="0" w:type="auto"/>
        <w:tblLook w:val="04A0" w:firstRow="1" w:lastRow="0" w:firstColumn="1" w:lastColumn="0" w:noHBand="0" w:noVBand="1"/>
      </w:tblPr>
      <w:tblGrid>
        <w:gridCol w:w="2405"/>
        <w:gridCol w:w="6417"/>
      </w:tblGrid>
      <w:tr w:rsidR="000F209E" w:rsidRPr="000F209E" w14:paraId="653D1891" w14:textId="77777777" w:rsidTr="00D20375">
        <w:trPr>
          <w:trHeight w:val="653"/>
        </w:trPr>
        <w:tc>
          <w:tcPr>
            <w:tcW w:w="2405" w:type="dxa"/>
            <w:shd w:val="pct15" w:color="auto" w:fill="auto"/>
          </w:tcPr>
          <w:p w14:paraId="31E24D3D" w14:textId="77777777" w:rsidR="000F209E" w:rsidRPr="000F209E" w:rsidRDefault="000F209E" w:rsidP="000F209E">
            <w:pPr>
              <w:jc w:val="center"/>
              <w:rPr>
                <w:rFonts w:ascii="Times New Roman" w:eastAsia="Calibri" w:hAnsi="Times New Roman"/>
                <w:b/>
                <w:szCs w:val="24"/>
              </w:rPr>
            </w:pPr>
            <w:r w:rsidRPr="000F209E">
              <w:rPr>
                <w:rFonts w:ascii="Times New Roman" w:eastAsia="Calibri" w:hAnsi="Times New Roman"/>
                <w:b/>
                <w:szCs w:val="24"/>
              </w:rPr>
              <w:t>Paskaidrojuma raksta sadaļa</w:t>
            </w:r>
          </w:p>
        </w:tc>
        <w:tc>
          <w:tcPr>
            <w:tcW w:w="6417" w:type="dxa"/>
            <w:shd w:val="pct15" w:color="auto" w:fill="auto"/>
          </w:tcPr>
          <w:p w14:paraId="51B9F01B" w14:textId="77777777" w:rsidR="000F209E" w:rsidRPr="000F209E" w:rsidRDefault="000F209E" w:rsidP="000F209E">
            <w:pPr>
              <w:jc w:val="center"/>
              <w:rPr>
                <w:rFonts w:ascii="Times New Roman" w:eastAsia="Calibri" w:hAnsi="Times New Roman"/>
                <w:b/>
                <w:szCs w:val="24"/>
              </w:rPr>
            </w:pPr>
            <w:r w:rsidRPr="000F209E">
              <w:rPr>
                <w:rFonts w:ascii="Times New Roman" w:eastAsia="Calibri" w:hAnsi="Times New Roman"/>
                <w:b/>
                <w:szCs w:val="24"/>
              </w:rPr>
              <w:t>Norādāmā informācija</w:t>
            </w:r>
          </w:p>
        </w:tc>
      </w:tr>
      <w:tr w:rsidR="000F209E" w:rsidRPr="000F209E" w14:paraId="5A0765E5" w14:textId="77777777" w:rsidTr="00D20375">
        <w:tc>
          <w:tcPr>
            <w:tcW w:w="2405" w:type="dxa"/>
          </w:tcPr>
          <w:p w14:paraId="73E46DEE"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1. Mērķis un nepieciešamības</w:t>
            </w:r>
          </w:p>
          <w:p w14:paraId="1D5A3BF3" w14:textId="77777777" w:rsidR="000F209E" w:rsidRPr="000F209E" w:rsidRDefault="000F209E" w:rsidP="000F209E">
            <w:pPr>
              <w:jc w:val="both"/>
              <w:rPr>
                <w:rFonts w:ascii="Times New Roman" w:eastAsia="Calibri" w:hAnsi="Times New Roman"/>
                <w:b/>
                <w:szCs w:val="24"/>
              </w:rPr>
            </w:pPr>
            <w:r w:rsidRPr="000F209E">
              <w:rPr>
                <w:rFonts w:ascii="Times New Roman" w:eastAsia="Calibri" w:hAnsi="Times New Roman"/>
                <w:szCs w:val="24"/>
              </w:rPr>
              <w:t>pamatojums</w:t>
            </w:r>
          </w:p>
        </w:tc>
        <w:tc>
          <w:tcPr>
            <w:tcW w:w="6417" w:type="dxa"/>
          </w:tcPr>
          <w:p w14:paraId="29BA8FC0"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Saistošo noteikumu mērķis ir veicināt Līvānu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w:t>
            </w:r>
          </w:p>
          <w:p w14:paraId="7529949C"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Problēmas raksturojums, kuras risināšanai nepieciešami saistošie noteikumi – līdzdalības budžeta nolikums nepieciešams, lai sniegtu iespēju iedzīvotājiem noteikt, kā tiek iztērēta daļa no pašvaldības budžeta līdzekļiem.</w:t>
            </w:r>
          </w:p>
          <w:p w14:paraId="57371909" w14:textId="7BBD5115"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Pastāvošais tiesiskais regulējums – Pašvaldību likuma 59., 60., 61., 62. pants, kas pašvaldībām uzliek par pienākumu gadskārtējā budžetā paredzēt finansējumu līdzdalības budžeta ieviešanai.</w:t>
            </w:r>
          </w:p>
          <w:p w14:paraId="77C84B8D"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Pamatojoties uz Pašvaldību likuma 61. pantu, pašvaldībām jāizstrādā līdzdalības budžeta nolikums, kas jāizdod saistošo noteikumu veidā.</w:t>
            </w:r>
          </w:p>
        </w:tc>
      </w:tr>
      <w:tr w:rsidR="000F209E" w:rsidRPr="000F209E" w14:paraId="70B6380E" w14:textId="77777777" w:rsidTr="00D20375">
        <w:tc>
          <w:tcPr>
            <w:tcW w:w="2405" w:type="dxa"/>
          </w:tcPr>
          <w:p w14:paraId="68DCDDD4"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2. Fiskālā ietekme uz pašvaldības budžetu</w:t>
            </w:r>
          </w:p>
        </w:tc>
        <w:tc>
          <w:tcPr>
            <w:tcW w:w="6417" w:type="dxa"/>
          </w:tcPr>
          <w:p w14:paraId="62412487" w14:textId="68080BE2" w:rsidR="000F209E" w:rsidRPr="008D7825" w:rsidRDefault="000F209E" w:rsidP="008D7825">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 xml:space="preserve"> Saskaņā ar Pašvaldību likumu gadskārtējā pašvaldības budžetā, jāparedz finansējums līdzdalības budžetam, kas nav mazāks par normatīvajos aktos noteikto </w:t>
            </w:r>
            <w:r w:rsidRPr="008D7825">
              <w:rPr>
                <w:rFonts w:ascii="Times New Roman" w:eastAsia="Calibri" w:hAnsi="Times New Roman"/>
                <w:szCs w:val="24"/>
              </w:rPr>
              <w:t>( Pašvaldību likuma 59. panta otrā daļa ) no pašvaldības vidējiem viena gada iedzīvotāju ienākuma nodokļa un nekustamā īpašuma nodokļa faktiskajiem ieņēmumiem, kas tiek aprēķināti par pēdējiem trim gadiem.</w:t>
            </w:r>
          </w:p>
          <w:p w14:paraId="78234CB2" w14:textId="77777777" w:rsidR="000F209E" w:rsidRPr="000F209E" w:rsidRDefault="000F209E" w:rsidP="000F209E">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Konkrētajā gadā līdzdalības budžeta projektu realizācijai pieejamais finansējums tiek noteikts Pašvaldības budžetā.</w:t>
            </w:r>
          </w:p>
          <w:p w14:paraId="7D4239F4" w14:textId="77777777" w:rsidR="000F209E" w:rsidRPr="000F209E" w:rsidRDefault="000F209E" w:rsidP="000F209E">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Viena projekta realizācijai piešķir ne vairāk kā pusi no gadā atvēlētās summas.</w:t>
            </w:r>
          </w:p>
        </w:tc>
      </w:tr>
      <w:tr w:rsidR="000F209E" w:rsidRPr="000F209E" w14:paraId="3340E9BE" w14:textId="77777777" w:rsidTr="00D20375">
        <w:tc>
          <w:tcPr>
            <w:tcW w:w="2405" w:type="dxa"/>
          </w:tcPr>
          <w:p w14:paraId="19915904"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3. Sociālā ietekme, ietekme uz vidi, iedzīvotāju veselību, uzņēmējdarbības vidi</w:t>
            </w:r>
          </w:p>
          <w:p w14:paraId="78109F87"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pašvaldības teritorijā, kā arī plānotā regulējuma ietekme uz konkurenci</w:t>
            </w:r>
          </w:p>
        </w:tc>
        <w:tc>
          <w:tcPr>
            <w:tcW w:w="6417" w:type="dxa"/>
          </w:tcPr>
          <w:p w14:paraId="30C4FD46"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Saistošo noteikumu pieņemšana labvēlīgi ietekmēs apkārtējo vidi, jo tiesiskais regulējums attiecināms uz sabiedrībai pieejamu publisku ārtelpu – tiks īstenoti projekti, kas virzīti uz teritorijas sakopšanu, jaunu vides objektu izveidošanu, atpūtas vietu iekārtošanu, sporta un aktīvās atpūtas infrastruktūras izveidošanu plašu sabiedrības grupu interesēm.</w:t>
            </w:r>
          </w:p>
          <w:p w14:paraId="10352A65"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Veiktās pārmaiņas pozitīvi ietekmēs cilvēku veselību un drošību, jo veiktās darbības tiks īstenotas atbilstoši būvniecību regulējošajiem normatīvajiem aktiem un tās veicinās pilsētvides labiekārtošanu atbilstoši cilvēku vajadzībām un interesēm, ņemot vērā arī drošības aspektu.</w:t>
            </w:r>
          </w:p>
          <w:p w14:paraId="62A80E80"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lastRenderedPageBreak/>
              <w:t>Tiks sakārtotas publiski pieejamas teritorijas, kas var atstāt pozitīvu ietekmi uz blakus esošajām uzņēmējdarbības teritorijām, veicinot pozitīvu ietekmi uz uzņēmējdarbības vidi.</w:t>
            </w:r>
          </w:p>
          <w:p w14:paraId="64412BF9"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Nav konstatējama ierobežojoša ietekme uz tirgu un atbilstību brīvai un godīgai konkurencei, jo līdzdalības budžetā apstiprinātās projektu idejas realizēs pašvaldība, ievērojot normatīvo aktu prasības attiecībā uz publiskā iepirkuma regulējumu.</w:t>
            </w:r>
          </w:p>
        </w:tc>
      </w:tr>
      <w:tr w:rsidR="000F209E" w:rsidRPr="000F209E" w14:paraId="559BDC87" w14:textId="77777777" w:rsidTr="00D20375">
        <w:tc>
          <w:tcPr>
            <w:tcW w:w="2405" w:type="dxa"/>
          </w:tcPr>
          <w:p w14:paraId="5C53E248"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lastRenderedPageBreak/>
              <w:t>4. Ietekme uz administratīvajām procedūrām un to izmaksām</w:t>
            </w:r>
          </w:p>
        </w:tc>
        <w:tc>
          <w:tcPr>
            <w:tcW w:w="6417" w:type="dxa"/>
          </w:tcPr>
          <w:p w14:paraId="191CD035"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Galvenie procedūras posmi privātpersonām un nevalstiskajām organizācijām veicamās darbības noteiktas saistošajos noteikumos.</w:t>
            </w:r>
          </w:p>
          <w:p w14:paraId="016C31E3"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Visas izmaksas, kas saistītas ar projekta pieteikuma sagatavošanu un iesniegšanu, sedz iesniedzējs.</w:t>
            </w:r>
          </w:p>
          <w:p w14:paraId="2EC28085"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Noteikumi paredz, ka konkursā iesniegtos projektus izskata konkursa vērtēšanas komisija.</w:t>
            </w:r>
          </w:p>
          <w:p w14:paraId="76C94ADA"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Konsultācijas par projektu iesniegšanu sniedz Līvānu novada Centrālā pārvalde. Projektu īstenošanu veic pašvaldība.</w:t>
            </w:r>
          </w:p>
          <w:p w14:paraId="23497F0D"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Administratīvo procedūru izmaksas nav paredzētas.</w:t>
            </w:r>
          </w:p>
        </w:tc>
      </w:tr>
      <w:tr w:rsidR="000F209E" w:rsidRPr="000F209E" w14:paraId="4359D5E9" w14:textId="77777777" w:rsidTr="00D20375">
        <w:tc>
          <w:tcPr>
            <w:tcW w:w="2405" w:type="dxa"/>
          </w:tcPr>
          <w:p w14:paraId="576819D5"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5. Ietekme uz pašvaldības funkcijām un cilvēkresursiem</w:t>
            </w:r>
          </w:p>
        </w:tc>
        <w:tc>
          <w:tcPr>
            <w:tcW w:w="6417" w:type="dxa"/>
          </w:tcPr>
          <w:p w14:paraId="4FB3E4B5" w14:textId="77777777" w:rsidR="000F209E" w:rsidRPr="000F209E" w:rsidRDefault="000F209E" w:rsidP="000F209E">
            <w:pPr>
              <w:numPr>
                <w:ilvl w:val="1"/>
                <w:numId w:val="7"/>
              </w:numPr>
              <w:contextualSpacing/>
              <w:jc w:val="both"/>
              <w:rPr>
                <w:rFonts w:ascii="Times New Roman" w:eastAsia="Calibri" w:hAnsi="Times New Roman"/>
                <w:szCs w:val="24"/>
              </w:rPr>
            </w:pPr>
            <w:r w:rsidRPr="000F209E">
              <w:rPr>
                <w:rFonts w:ascii="Times New Roman" w:eastAsia="Calibri" w:hAnsi="Times New Roman"/>
                <w:szCs w:val="24"/>
              </w:rPr>
              <w:t>Saistošo noteikumu izpildes nodrošināšanai nav nepieciešams veidot jaunas pašvaldības institūcijas, darba vietas vai paplašināt esošo institūciju kompetenci.</w:t>
            </w:r>
          </w:p>
        </w:tc>
      </w:tr>
      <w:tr w:rsidR="000F209E" w:rsidRPr="000F209E" w14:paraId="6421ED56" w14:textId="77777777" w:rsidTr="00D20375">
        <w:tc>
          <w:tcPr>
            <w:tcW w:w="2405" w:type="dxa"/>
          </w:tcPr>
          <w:p w14:paraId="68702389"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6. Informācija par izpildes nodrošināšanu</w:t>
            </w:r>
          </w:p>
        </w:tc>
        <w:tc>
          <w:tcPr>
            <w:tcW w:w="6417" w:type="dxa"/>
          </w:tcPr>
          <w:p w14:paraId="31101B15"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Saistošo noteikumu izpilde tiks nodrošināta, ņemot vērā pašvaldības budžetā šim mērķim paredzētos līdzekļus.</w:t>
            </w:r>
          </w:p>
          <w:p w14:paraId="51EBC613"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Konkursa rīkošanu, projektu pieteikumu pieņemšanu un konsultācijas projektu iesniedzējiem nodrošinās Līvānu novada Centrālā pārvalde.</w:t>
            </w:r>
          </w:p>
          <w:p w14:paraId="5D1AB1C0"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Iesniegto projektu vērtēšanu veiks konkursa vērtēšanas komisija.</w:t>
            </w:r>
          </w:p>
        </w:tc>
      </w:tr>
      <w:tr w:rsidR="000F209E" w:rsidRPr="000F209E" w14:paraId="011CF495" w14:textId="77777777" w:rsidTr="00D20375">
        <w:tc>
          <w:tcPr>
            <w:tcW w:w="2405" w:type="dxa"/>
          </w:tcPr>
          <w:p w14:paraId="049AED3D"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7. Prasību un izmaksu samērīgums pret ieguvumiem, ko sniedz mērķa sasniegšana</w:t>
            </w:r>
          </w:p>
        </w:tc>
        <w:tc>
          <w:tcPr>
            <w:tcW w:w="6417" w:type="dxa"/>
          </w:tcPr>
          <w:p w14:paraId="468BED57" w14:textId="77777777" w:rsidR="000F209E" w:rsidRPr="000F209E" w:rsidRDefault="000F209E" w:rsidP="000F209E">
            <w:pPr>
              <w:numPr>
                <w:ilvl w:val="1"/>
                <w:numId w:val="8"/>
              </w:numPr>
              <w:contextualSpacing/>
              <w:jc w:val="both"/>
              <w:rPr>
                <w:rFonts w:ascii="Times New Roman" w:eastAsia="Calibri" w:hAnsi="Times New Roman"/>
                <w:szCs w:val="24"/>
              </w:rPr>
            </w:pPr>
            <w:r w:rsidRPr="000F209E">
              <w:rPr>
                <w:rFonts w:ascii="Times New Roman" w:eastAsia="Calibri" w:hAnsi="Times New Roman"/>
                <w:szCs w:val="24"/>
              </w:rPr>
              <w:t>Saistošie noteikumi ir piemēroti iecerētā mērķa sasniegšanas nodrošināšanai un paredz tikai to, kas ir vajadzīgs minētā mērķa sasniegšanai. Pašvaldības izraudzītie līdzekļi ir leģitīmi un rīcība ir atbilstoša augstākstāvošajiem normatīvajiem aktiem.</w:t>
            </w:r>
          </w:p>
        </w:tc>
      </w:tr>
      <w:tr w:rsidR="000F209E" w:rsidRPr="000F209E" w14:paraId="738FBC3C" w14:textId="77777777" w:rsidTr="00D20375">
        <w:tc>
          <w:tcPr>
            <w:tcW w:w="2405" w:type="dxa"/>
          </w:tcPr>
          <w:p w14:paraId="4EDFA0AA"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8. Izstrādes gaitā veiktās konsultācijas ar privātpersonām un institūcijām</w:t>
            </w:r>
          </w:p>
        </w:tc>
        <w:tc>
          <w:tcPr>
            <w:tcW w:w="6417" w:type="dxa"/>
          </w:tcPr>
          <w:p w14:paraId="74237DDC" w14:textId="4D0CECB9" w:rsidR="000F209E" w:rsidRPr="004A4ABC" w:rsidRDefault="004A4ABC" w:rsidP="005201C4">
            <w:pPr>
              <w:jc w:val="both"/>
              <w:rPr>
                <w:rFonts w:ascii="Times New Roman" w:eastAsia="Calibri" w:hAnsi="Times New Roman"/>
                <w:szCs w:val="24"/>
              </w:rPr>
            </w:pPr>
            <w:r w:rsidRPr="004A4ABC">
              <w:rPr>
                <w:rFonts w:ascii="Times New Roman" w:eastAsia="Calibri" w:hAnsi="Times New Roman"/>
                <w:szCs w:val="24"/>
              </w:rPr>
              <w:t xml:space="preserve">8.1. </w:t>
            </w:r>
            <w:r w:rsidR="000F209E" w:rsidRPr="004A4ABC">
              <w:rPr>
                <w:rFonts w:ascii="Times New Roman" w:eastAsia="Calibri" w:hAnsi="Times New Roman"/>
                <w:szCs w:val="24"/>
              </w:rPr>
              <w:t>Ievērojot Pašvaldību likuma 46.</w:t>
            </w:r>
            <w:r w:rsidR="00F75762">
              <w:rPr>
                <w:rFonts w:ascii="Times New Roman" w:eastAsia="Calibri" w:hAnsi="Times New Roman"/>
                <w:szCs w:val="24"/>
              </w:rPr>
              <w:t xml:space="preserve"> </w:t>
            </w:r>
            <w:r w:rsidR="000F209E" w:rsidRPr="004A4ABC">
              <w:rPr>
                <w:rFonts w:ascii="Times New Roman" w:eastAsia="Calibri" w:hAnsi="Times New Roman"/>
                <w:szCs w:val="24"/>
              </w:rPr>
              <w:t>panta trešo daļu saistošo noteikumu projekts publicējams pašvaldības mājaslapā sabiedrības viedokļa noskaidrošanai. Privātpersonu ierosinājumi</w:t>
            </w:r>
            <w:r w:rsidR="00E8007F">
              <w:rPr>
                <w:rFonts w:ascii="Times New Roman" w:eastAsia="Calibri" w:hAnsi="Times New Roman"/>
                <w:szCs w:val="24"/>
              </w:rPr>
              <w:t xml:space="preserve"> </w:t>
            </w:r>
            <w:r w:rsidR="00F75762">
              <w:rPr>
                <w:rFonts w:ascii="Times New Roman" w:eastAsia="Calibri" w:hAnsi="Times New Roman"/>
                <w:szCs w:val="24"/>
              </w:rPr>
              <w:t>ir/</w:t>
            </w:r>
            <w:r w:rsidR="000F209E" w:rsidRPr="004A4ABC">
              <w:rPr>
                <w:rFonts w:ascii="Times New Roman" w:eastAsia="Calibri" w:hAnsi="Times New Roman"/>
                <w:szCs w:val="24"/>
              </w:rPr>
              <w:t>nav saņemti.</w:t>
            </w:r>
          </w:p>
          <w:p w14:paraId="10A06001" w14:textId="77777777" w:rsidR="000F209E" w:rsidRPr="000F209E" w:rsidRDefault="000F209E" w:rsidP="000F209E">
            <w:pPr>
              <w:jc w:val="both"/>
              <w:rPr>
                <w:rFonts w:ascii="Times New Roman" w:eastAsia="Calibri" w:hAnsi="Times New Roman"/>
                <w:szCs w:val="24"/>
              </w:rPr>
            </w:pPr>
          </w:p>
        </w:tc>
      </w:tr>
    </w:tbl>
    <w:p w14:paraId="6C353AA3" w14:textId="77777777" w:rsidR="000F209E" w:rsidRPr="000F209E" w:rsidRDefault="000F209E" w:rsidP="000F209E">
      <w:pPr>
        <w:ind w:firstLine="567"/>
        <w:jc w:val="center"/>
        <w:rPr>
          <w:rFonts w:eastAsia="Calibri"/>
          <w:b/>
          <w:szCs w:val="24"/>
        </w:rPr>
      </w:pPr>
    </w:p>
    <w:p w14:paraId="51176E55" w14:textId="51C31321" w:rsidR="000F209E" w:rsidRPr="000F209E" w:rsidRDefault="00157571" w:rsidP="000F209E">
      <w:pPr>
        <w:jc w:val="both"/>
        <w:rPr>
          <w:rFonts w:eastAsia="Calibri"/>
          <w:bCs w:val="0"/>
          <w:szCs w:val="24"/>
        </w:rPr>
      </w:pPr>
      <w:r w:rsidRPr="00157571">
        <w:rPr>
          <w:rFonts w:eastAsia="Calibri"/>
          <w:bCs w:val="0"/>
          <w:szCs w:val="24"/>
        </w:rPr>
        <w:t>Līvānu novada pašvaldības domes priekšsēdētājs</w:t>
      </w:r>
      <w:r w:rsidR="000F209E" w:rsidRPr="000F209E">
        <w:rPr>
          <w:rFonts w:eastAsia="Calibri"/>
          <w:bCs w:val="0"/>
          <w:szCs w:val="24"/>
        </w:rPr>
        <w:tab/>
      </w:r>
      <w:r w:rsidR="000F209E" w:rsidRPr="000F209E">
        <w:rPr>
          <w:rFonts w:eastAsia="Calibri"/>
          <w:bCs w:val="0"/>
          <w:szCs w:val="24"/>
        </w:rPr>
        <w:tab/>
      </w:r>
      <w:r w:rsidR="000F209E" w:rsidRPr="000F209E">
        <w:rPr>
          <w:rFonts w:eastAsia="Calibri"/>
          <w:bCs w:val="0"/>
          <w:szCs w:val="24"/>
        </w:rPr>
        <w:tab/>
        <w:t xml:space="preserve">               </w:t>
      </w:r>
      <w:r>
        <w:rPr>
          <w:rFonts w:eastAsia="Calibri"/>
          <w:bCs w:val="0"/>
          <w:szCs w:val="24"/>
        </w:rPr>
        <w:t>Dāvids Rubens</w:t>
      </w:r>
    </w:p>
    <w:p w14:paraId="3E932F6F" w14:textId="77777777" w:rsidR="003B2520" w:rsidRDefault="003B2520"/>
    <w:sectPr w:rsidR="003B2520" w:rsidSect="000F209E">
      <w:footerReference w:type="default" r:id="rId9"/>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E7E9" w14:textId="77777777" w:rsidR="00E8007F" w:rsidRDefault="00E8007F">
      <w:pPr>
        <w:spacing w:after="0" w:line="240" w:lineRule="auto"/>
      </w:pPr>
      <w:r>
        <w:separator/>
      </w:r>
    </w:p>
  </w:endnote>
  <w:endnote w:type="continuationSeparator" w:id="0">
    <w:p w14:paraId="62430B66" w14:textId="77777777" w:rsidR="00E8007F" w:rsidRDefault="00E8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12940"/>
      <w:docPartObj>
        <w:docPartGallery w:val="Page Numbers (Bottom of Page)"/>
        <w:docPartUnique/>
      </w:docPartObj>
    </w:sdtPr>
    <w:sdtEndPr/>
    <w:sdtContent>
      <w:p w14:paraId="02F6BFC5" w14:textId="77777777" w:rsidR="009353B9" w:rsidRDefault="009353B9">
        <w:pPr>
          <w:pStyle w:val="Kjene"/>
          <w:jc w:val="center"/>
        </w:pPr>
        <w:r>
          <w:fldChar w:fldCharType="begin"/>
        </w:r>
        <w:r>
          <w:instrText>PAGE   \* MERGEFORMAT</w:instrText>
        </w:r>
        <w:r>
          <w:fldChar w:fldCharType="separate"/>
        </w:r>
        <w:r>
          <w:t>2</w:t>
        </w:r>
        <w:r>
          <w:fldChar w:fldCharType="end"/>
        </w:r>
      </w:p>
    </w:sdtContent>
  </w:sdt>
  <w:p w14:paraId="4F278962" w14:textId="77777777" w:rsidR="009353B9" w:rsidRDefault="009353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7967" w14:textId="77777777" w:rsidR="00E8007F" w:rsidRDefault="00E8007F">
      <w:pPr>
        <w:spacing w:after="0" w:line="240" w:lineRule="auto"/>
      </w:pPr>
      <w:r>
        <w:separator/>
      </w:r>
    </w:p>
  </w:footnote>
  <w:footnote w:type="continuationSeparator" w:id="0">
    <w:p w14:paraId="7D5E360E" w14:textId="77777777" w:rsidR="00E8007F" w:rsidRDefault="00E8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376A"/>
    <w:multiLevelType w:val="multilevel"/>
    <w:tmpl w:val="14F66D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FF79F7"/>
    <w:multiLevelType w:val="multilevel"/>
    <w:tmpl w:val="752A5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536CE4"/>
    <w:multiLevelType w:val="multilevel"/>
    <w:tmpl w:val="752A5F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847EE"/>
    <w:multiLevelType w:val="multilevel"/>
    <w:tmpl w:val="752A5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613BF"/>
    <w:multiLevelType w:val="multilevel"/>
    <w:tmpl w:val="F6829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963CC9"/>
    <w:multiLevelType w:val="multilevel"/>
    <w:tmpl w:val="752A5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7A4043"/>
    <w:multiLevelType w:val="multilevel"/>
    <w:tmpl w:val="752A5F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73752515"/>
    <w:multiLevelType w:val="multilevel"/>
    <w:tmpl w:val="B73E52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1633954">
    <w:abstractNumId w:val="7"/>
  </w:num>
  <w:num w:numId="2" w16cid:durableId="1376539501">
    <w:abstractNumId w:val="4"/>
  </w:num>
  <w:num w:numId="3" w16cid:durableId="781726625">
    <w:abstractNumId w:val="3"/>
  </w:num>
  <w:num w:numId="4" w16cid:durableId="471945846">
    <w:abstractNumId w:val="5"/>
  </w:num>
  <w:num w:numId="5" w16cid:durableId="518280422">
    <w:abstractNumId w:val="6"/>
  </w:num>
  <w:num w:numId="6" w16cid:durableId="819231313">
    <w:abstractNumId w:val="2"/>
  </w:num>
  <w:num w:numId="7" w16cid:durableId="1145241853">
    <w:abstractNumId w:val="1"/>
  </w:num>
  <w:num w:numId="8" w16cid:durableId="877473623">
    <w:abstractNumId w:val="0"/>
  </w:num>
  <w:num w:numId="9" w16cid:durableId="1302079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9E"/>
    <w:rsid w:val="000F209E"/>
    <w:rsid w:val="00157571"/>
    <w:rsid w:val="003B2520"/>
    <w:rsid w:val="0043210E"/>
    <w:rsid w:val="00484516"/>
    <w:rsid w:val="004A4ABC"/>
    <w:rsid w:val="005201C4"/>
    <w:rsid w:val="00533FF1"/>
    <w:rsid w:val="00542BC5"/>
    <w:rsid w:val="008A087F"/>
    <w:rsid w:val="008D7825"/>
    <w:rsid w:val="009353B9"/>
    <w:rsid w:val="009C79AD"/>
    <w:rsid w:val="00B561C3"/>
    <w:rsid w:val="00BB4246"/>
    <w:rsid w:val="00D13621"/>
    <w:rsid w:val="00E8007F"/>
    <w:rsid w:val="00F75762"/>
    <w:rsid w:val="00FD39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7231"/>
  <w15:chartTrackingRefBased/>
  <w15:docId w15:val="{ADF2AF6A-ACAE-4DFC-8F30-76E378DF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F2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2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20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20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209E"/>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20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209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F209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209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209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209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209E"/>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209E"/>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209E"/>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0F209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209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F209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209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F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20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20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209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F20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209E"/>
    <w:rPr>
      <w:i/>
      <w:iCs/>
      <w:color w:val="404040" w:themeColor="text1" w:themeTint="BF"/>
    </w:rPr>
  </w:style>
  <w:style w:type="paragraph" w:styleId="Sarakstarindkopa">
    <w:name w:val="List Paragraph"/>
    <w:basedOn w:val="Parasts"/>
    <w:uiPriority w:val="34"/>
    <w:qFormat/>
    <w:rsid w:val="000F209E"/>
    <w:pPr>
      <w:ind w:left="720"/>
      <w:contextualSpacing/>
    </w:pPr>
  </w:style>
  <w:style w:type="character" w:styleId="Intensvsizclums">
    <w:name w:val="Intense Emphasis"/>
    <w:basedOn w:val="Noklusjumarindkopasfonts"/>
    <w:uiPriority w:val="21"/>
    <w:qFormat/>
    <w:rsid w:val="000F209E"/>
    <w:rPr>
      <w:i/>
      <w:iCs/>
      <w:color w:val="2F5496" w:themeColor="accent1" w:themeShade="BF"/>
    </w:rPr>
  </w:style>
  <w:style w:type="paragraph" w:styleId="Intensvscitts">
    <w:name w:val="Intense Quote"/>
    <w:basedOn w:val="Parasts"/>
    <w:next w:val="Parasts"/>
    <w:link w:val="IntensvscittsRakstz"/>
    <w:uiPriority w:val="30"/>
    <w:qFormat/>
    <w:rsid w:val="000F2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209E"/>
    <w:rPr>
      <w:i/>
      <w:iCs/>
      <w:color w:val="2F5496" w:themeColor="accent1" w:themeShade="BF"/>
    </w:rPr>
  </w:style>
  <w:style w:type="character" w:styleId="Intensvaatsauce">
    <w:name w:val="Intense Reference"/>
    <w:basedOn w:val="Noklusjumarindkopasfonts"/>
    <w:uiPriority w:val="32"/>
    <w:qFormat/>
    <w:rsid w:val="000F209E"/>
    <w:rPr>
      <w:b/>
      <w:bCs w:val="0"/>
      <w:smallCaps/>
      <w:color w:val="2F5496" w:themeColor="accent1" w:themeShade="BF"/>
      <w:spacing w:val="5"/>
    </w:rPr>
  </w:style>
  <w:style w:type="table" w:customStyle="1" w:styleId="Reatabula1">
    <w:name w:val="Režģa tabula1"/>
    <w:basedOn w:val="Parastatabula"/>
    <w:next w:val="Reatabula"/>
    <w:uiPriority w:val="39"/>
    <w:rsid w:val="000F209E"/>
    <w:pPr>
      <w:spacing w:after="0" w:line="240" w:lineRule="auto"/>
    </w:pPr>
    <w:rPr>
      <w:rFonts w:ascii="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0F209E"/>
    <w:pPr>
      <w:tabs>
        <w:tab w:val="center" w:pos="4153"/>
        <w:tab w:val="right" w:pos="8306"/>
      </w:tabs>
      <w:spacing w:after="0" w:line="240" w:lineRule="auto"/>
    </w:pPr>
    <w:rPr>
      <w:rFonts w:ascii="Calibri" w:hAnsi="Calibri"/>
      <w:bCs w:val="0"/>
      <w:sz w:val="22"/>
      <w:szCs w:val="22"/>
    </w:rPr>
  </w:style>
  <w:style w:type="character" w:customStyle="1" w:styleId="KjeneRakstz">
    <w:name w:val="Kājene Rakstz."/>
    <w:basedOn w:val="Noklusjumarindkopasfonts"/>
    <w:link w:val="Kjene"/>
    <w:uiPriority w:val="99"/>
    <w:rsid w:val="000F209E"/>
    <w:rPr>
      <w:rFonts w:ascii="Calibri" w:hAnsi="Calibri"/>
      <w:bCs w:val="0"/>
      <w:sz w:val="22"/>
      <w:szCs w:val="22"/>
    </w:rPr>
  </w:style>
  <w:style w:type="table" w:styleId="Reatabula">
    <w:name w:val="Table Grid"/>
    <w:basedOn w:val="Parastatabula"/>
    <w:uiPriority w:val="39"/>
    <w:rsid w:val="000F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3290</Words>
  <Characters>1876</Characters>
  <Application>Microsoft Office Word</Application>
  <DocSecurity>0</DocSecurity>
  <Lines>15</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43</cp:revision>
  <dcterms:created xsi:type="dcterms:W3CDTF">2026-03-04T12:28:00Z</dcterms:created>
  <dcterms:modified xsi:type="dcterms:W3CDTF">2026-03-04T12:50:00Z</dcterms:modified>
</cp:coreProperties>
</file>