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76D8" w14:textId="77777777" w:rsidR="00E37E18" w:rsidRDefault="00E37E18" w:rsidP="00E37E18">
      <w:pPr>
        <w:spacing w:before="100" w:beforeAutospacing="1" w:after="100" w:afterAutospacing="1" w:line="240" w:lineRule="auto"/>
        <w:jc w:val="center"/>
        <w:outlineLvl w:val="3"/>
        <w:rPr>
          <w:rFonts w:eastAsia="Times New Roman"/>
          <w:b/>
          <w:kern w:val="0"/>
          <w:szCs w:val="24"/>
          <w:lang w:eastAsia="lv-LV"/>
          <w14:ligatures w14:val="none"/>
        </w:rPr>
      </w:pPr>
    </w:p>
    <w:p w14:paraId="36FA2456" w14:textId="77777777" w:rsidR="009627F2" w:rsidRPr="001A3A02" w:rsidRDefault="009627F2" w:rsidP="009627F2">
      <w:pPr>
        <w:spacing w:after="0" w:line="240" w:lineRule="auto"/>
        <w:ind w:hanging="567"/>
        <w:jc w:val="center"/>
        <w:rPr>
          <w:rFonts w:eastAsia="Calibri"/>
          <w:bCs w:val="0"/>
          <w:noProof/>
          <w:kern w:val="0"/>
          <w:szCs w:val="24"/>
          <w14:ligatures w14:val="none"/>
        </w:rPr>
      </w:pPr>
      <w:bookmarkStart w:id="0" w:name="_gjdgxs" w:colFirst="0" w:colLast="0"/>
      <w:bookmarkStart w:id="1" w:name="_Hlk168319277"/>
      <w:bookmarkEnd w:id="0"/>
      <w:r w:rsidRPr="001A3A02">
        <w:rPr>
          <w:rFonts w:eastAsia="Calibri"/>
          <w:bCs w:val="0"/>
          <w:noProof/>
          <w:kern w:val="0"/>
          <w:szCs w:val="24"/>
          <w:lang w:val="en-US"/>
          <w14:ligatures w14:val="none"/>
        </w:rPr>
        <w:drawing>
          <wp:inline distT="0" distB="0" distL="0" distR="0" wp14:anchorId="1C576591" wp14:editId="122D92C2">
            <wp:extent cx="704850" cy="800100"/>
            <wp:effectExtent l="0" t="0" r="0" b="0"/>
            <wp:docPr id="18971299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3550CFCF" w14:textId="77777777" w:rsidR="009627F2" w:rsidRPr="001A3A02" w:rsidRDefault="009627F2" w:rsidP="009627F2">
      <w:pPr>
        <w:spacing w:after="0" w:line="240" w:lineRule="auto"/>
        <w:ind w:hanging="567"/>
        <w:jc w:val="center"/>
        <w:rPr>
          <w:rFonts w:eastAsia="Calibri"/>
          <w:b/>
          <w:bCs w:val="0"/>
          <w:noProof/>
          <w:kern w:val="0"/>
          <w:sz w:val="32"/>
          <w:szCs w:val="32"/>
          <w14:ligatures w14:val="none"/>
        </w:rPr>
      </w:pPr>
      <w:r w:rsidRPr="001A3A02">
        <w:rPr>
          <w:rFonts w:eastAsia="Calibri"/>
          <w:bCs w:val="0"/>
          <w:noProof/>
          <w:kern w:val="0"/>
          <w:sz w:val="32"/>
          <w:szCs w:val="32"/>
          <w14:ligatures w14:val="none"/>
        </w:rPr>
        <mc:AlternateContent>
          <mc:Choice Requires="wps">
            <w:drawing>
              <wp:anchor distT="4294967295" distB="4294967295" distL="114300" distR="114300" simplePos="0" relativeHeight="251659264" behindDoc="0" locked="0" layoutInCell="1" allowOverlap="1" wp14:anchorId="35375FE9" wp14:editId="28672A90">
                <wp:simplePos x="0" y="0"/>
                <wp:positionH relativeFrom="column">
                  <wp:posOffset>-788035</wp:posOffset>
                </wp:positionH>
                <wp:positionV relativeFrom="paragraph">
                  <wp:posOffset>227330</wp:posOffset>
                </wp:positionV>
                <wp:extent cx="6858000" cy="12700"/>
                <wp:effectExtent l="0" t="0" r="19050" b="25400"/>
                <wp:wrapNone/>
                <wp:docPr id="1901805527"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65FB77F" id="_x0000_t32" coordsize="21600,21600" o:spt="32" o:oned="t" path="m,l21600,21600e" filled="f">
                <v:path arrowok="t" fillok="f" o:connecttype="none"/>
                <o:lock v:ext="edit" shapetype="t"/>
              </v:shapetype>
              <v:shape id="Taisns bultveida savienotājs 2" o:spid="_x0000_s1026" type="#_x0000_t32" style="position:absolute;margin-left:-62.05pt;margin-top:17.9pt;width:540pt;height:1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" strokecolor="#548dd4">
                <o:lock v:ext="edit" shapetype="f"/>
              </v:shape>
            </w:pict>
          </mc:Fallback>
        </mc:AlternateContent>
      </w:r>
      <w:r w:rsidRPr="001A3A02">
        <w:rPr>
          <w:rFonts w:eastAsia="Calibri"/>
          <w:b/>
          <w:bCs w:val="0"/>
          <w:noProof/>
          <w:kern w:val="0"/>
          <w:sz w:val="32"/>
          <w:szCs w:val="32"/>
          <w14:ligatures w14:val="none"/>
        </w:rPr>
        <w:t>LĪVĀNU NOVADA PAŠVALDĪBA</w:t>
      </w:r>
    </w:p>
    <w:p w14:paraId="7841067F" w14:textId="77777777" w:rsidR="009627F2" w:rsidRPr="001A3A02" w:rsidRDefault="009627F2" w:rsidP="009627F2">
      <w:pPr>
        <w:spacing w:after="0" w:line="240" w:lineRule="auto"/>
        <w:ind w:hanging="567"/>
        <w:jc w:val="center"/>
        <w:rPr>
          <w:rFonts w:eastAsia="Calibri"/>
          <w:bCs w:val="0"/>
          <w:noProof/>
          <w:kern w:val="0"/>
          <w:szCs w:val="24"/>
          <w14:ligatures w14:val="none"/>
        </w:rPr>
      </w:pPr>
      <w:r w:rsidRPr="001A3A02">
        <w:rPr>
          <w:rFonts w:eastAsia="Calibri"/>
          <w:bCs w:val="0"/>
          <w:noProof/>
          <w:kern w:val="0"/>
          <w:szCs w:val="24"/>
          <w14:ligatures w14:val="none"/>
        </w:rPr>
        <w:t>Reģistrācijas Nr. 90000065595, Rīgas iela 77, Līvāni, Līvānu novads, LV – 5316,</w:t>
      </w:r>
    </w:p>
    <w:p w14:paraId="71A32F38" w14:textId="77777777" w:rsidR="009627F2" w:rsidRPr="001A3A02" w:rsidRDefault="009627F2" w:rsidP="009627F2">
      <w:pPr>
        <w:spacing w:after="0" w:line="240" w:lineRule="auto"/>
        <w:ind w:hanging="567"/>
        <w:jc w:val="center"/>
        <w:rPr>
          <w:rFonts w:eastAsia="Calibri"/>
          <w:bCs w:val="0"/>
          <w:noProof/>
          <w:kern w:val="0"/>
          <w:szCs w:val="24"/>
          <w14:ligatures w14:val="none"/>
        </w:rPr>
      </w:pPr>
      <w:r w:rsidRPr="001A3A02">
        <w:rPr>
          <w:rFonts w:eastAsia="Calibri"/>
          <w:bCs w:val="0"/>
          <w:noProof/>
          <w:kern w:val="0"/>
          <w:szCs w:val="24"/>
          <w14:ligatures w14:val="none"/>
        </w:rPr>
        <w:t>tālr.: 65307250, e-pasts: pasts@livani.lv</w:t>
      </w:r>
    </w:p>
    <w:bookmarkEnd w:id="1"/>
    <w:p w14:paraId="47F879A8" w14:textId="77777777" w:rsidR="00E37E18" w:rsidRDefault="00E37E18" w:rsidP="00E37E18">
      <w:pPr>
        <w:spacing w:before="100" w:beforeAutospacing="1" w:after="100" w:afterAutospacing="1" w:line="240" w:lineRule="auto"/>
        <w:jc w:val="center"/>
        <w:outlineLvl w:val="3"/>
        <w:rPr>
          <w:rFonts w:eastAsia="Times New Roman"/>
          <w:b/>
          <w:kern w:val="0"/>
          <w:szCs w:val="24"/>
          <w:lang w:eastAsia="lv-LV"/>
          <w14:ligatures w14:val="none"/>
        </w:rPr>
      </w:pPr>
    </w:p>
    <w:p w14:paraId="356CEBF4" w14:textId="358C6356" w:rsidR="00E37E18" w:rsidRPr="00343897" w:rsidRDefault="00E37E18" w:rsidP="00E37E18">
      <w:pPr>
        <w:spacing w:before="100" w:beforeAutospacing="1" w:after="100" w:afterAutospacing="1" w:line="240" w:lineRule="auto"/>
        <w:jc w:val="center"/>
        <w:outlineLvl w:val="3"/>
        <w:rPr>
          <w:rFonts w:eastAsia="Times New Roman"/>
          <w:b/>
          <w:kern w:val="0"/>
          <w:szCs w:val="24"/>
          <w:lang w:eastAsia="lv-LV"/>
          <w14:ligatures w14:val="none"/>
        </w:rPr>
      </w:pPr>
      <w:r>
        <w:rPr>
          <w:rFonts w:eastAsia="Times New Roman"/>
          <w:b/>
          <w:kern w:val="0"/>
          <w:szCs w:val="24"/>
          <w:lang w:eastAsia="lv-LV"/>
          <w14:ligatures w14:val="none"/>
        </w:rPr>
        <w:t>Līvānu</w:t>
      </w:r>
      <w:r w:rsidRPr="00343897">
        <w:rPr>
          <w:rFonts w:eastAsia="Times New Roman"/>
          <w:b/>
          <w:kern w:val="0"/>
          <w:szCs w:val="24"/>
          <w:lang w:eastAsia="lv-LV"/>
          <w14:ligatures w14:val="none"/>
        </w:rPr>
        <w:t xml:space="preserve"> novada </w:t>
      </w:r>
      <w:r>
        <w:rPr>
          <w:rFonts w:eastAsia="Times New Roman"/>
          <w:b/>
          <w:kern w:val="0"/>
          <w:szCs w:val="24"/>
          <w:lang w:eastAsia="lv-LV"/>
          <w14:ligatures w14:val="none"/>
        </w:rPr>
        <w:t xml:space="preserve">pašvaldības </w:t>
      </w:r>
      <w:r w:rsidRPr="00343897">
        <w:rPr>
          <w:rFonts w:eastAsia="Times New Roman"/>
          <w:b/>
          <w:kern w:val="0"/>
          <w:szCs w:val="24"/>
          <w:lang w:eastAsia="lv-LV"/>
          <w14:ligatures w14:val="none"/>
        </w:rPr>
        <w:t>domes</w:t>
      </w:r>
      <w:r>
        <w:rPr>
          <w:rFonts w:eastAsia="Times New Roman"/>
          <w:b/>
          <w:kern w:val="0"/>
          <w:szCs w:val="24"/>
          <w:lang w:eastAsia="lv-LV"/>
          <w14:ligatures w14:val="none"/>
        </w:rPr>
        <w:t xml:space="preserve"> 2026. gada ____._____________</w:t>
      </w:r>
      <w:r w:rsidRPr="00343897">
        <w:rPr>
          <w:rFonts w:eastAsia="Times New Roman"/>
          <w:b/>
          <w:kern w:val="0"/>
          <w:szCs w:val="24"/>
          <w:lang w:eastAsia="lv-LV"/>
          <w14:ligatures w14:val="none"/>
        </w:rPr>
        <w:t>. saistošo noteikumu Nr. </w:t>
      </w:r>
      <w:r>
        <w:rPr>
          <w:rFonts w:eastAsia="Times New Roman"/>
          <w:b/>
          <w:kern w:val="0"/>
          <w:szCs w:val="24"/>
          <w:lang w:eastAsia="lv-LV"/>
          <w14:ligatures w14:val="none"/>
        </w:rPr>
        <w:t>____</w:t>
      </w:r>
      <w:r w:rsidRPr="00343897">
        <w:rPr>
          <w:rFonts w:eastAsia="Times New Roman"/>
          <w:b/>
          <w:kern w:val="0"/>
          <w:szCs w:val="24"/>
          <w:lang w:eastAsia="lv-LV"/>
          <w14:ligatures w14:val="none"/>
        </w:rPr>
        <w:t xml:space="preserve"> "Grozījumi </w:t>
      </w:r>
      <w:r>
        <w:rPr>
          <w:rFonts w:eastAsia="Times New Roman"/>
          <w:b/>
          <w:kern w:val="0"/>
          <w:szCs w:val="24"/>
          <w:lang w:eastAsia="lv-LV"/>
          <w14:ligatures w14:val="none"/>
        </w:rPr>
        <w:t>Līvānu</w:t>
      </w:r>
      <w:r w:rsidRPr="00343897">
        <w:rPr>
          <w:rFonts w:eastAsia="Times New Roman"/>
          <w:b/>
          <w:kern w:val="0"/>
          <w:szCs w:val="24"/>
          <w:lang w:eastAsia="lv-LV"/>
          <w14:ligatures w14:val="none"/>
        </w:rPr>
        <w:t xml:space="preserve"> novada </w:t>
      </w:r>
      <w:r>
        <w:rPr>
          <w:rFonts w:eastAsia="Times New Roman"/>
          <w:b/>
          <w:kern w:val="0"/>
          <w:szCs w:val="24"/>
          <w:lang w:eastAsia="lv-LV"/>
          <w14:ligatures w14:val="none"/>
        </w:rPr>
        <w:t xml:space="preserve">pašvaldības </w:t>
      </w:r>
      <w:r w:rsidRPr="00343897">
        <w:rPr>
          <w:rFonts w:eastAsia="Times New Roman"/>
          <w:b/>
          <w:kern w:val="0"/>
          <w:szCs w:val="24"/>
          <w:lang w:eastAsia="lv-LV"/>
          <w14:ligatures w14:val="none"/>
        </w:rPr>
        <w:t xml:space="preserve">domes 2023. gada </w:t>
      </w:r>
      <w:r>
        <w:rPr>
          <w:rFonts w:eastAsia="Times New Roman"/>
          <w:b/>
          <w:kern w:val="0"/>
          <w:szCs w:val="24"/>
          <w:lang w:eastAsia="lv-LV"/>
          <w14:ligatures w14:val="none"/>
        </w:rPr>
        <w:t>30</w:t>
      </w:r>
      <w:r w:rsidRPr="00343897">
        <w:rPr>
          <w:rFonts w:eastAsia="Times New Roman"/>
          <w:b/>
          <w:kern w:val="0"/>
          <w:szCs w:val="24"/>
          <w:lang w:eastAsia="lv-LV"/>
          <w14:ligatures w14:val="none"/>
        </w:rPr>
        <w:t>. </w:t>
      </w:r>
      <w:r>
        <w:rPr>
          <w:rFonts w:eastAsia="Times New Roman"/>
          <w:b/>
          <w:kern w:val="0"/>
          <w:szCs w:val="24"/>
          <w:lang w:eastAsia="lv-LV"/>
          <w14:ligatures w14:val="none"/>
        </w:rPr>
        <w:t>novembra</w:t>
      </w:r>
      <w:r w:rsidRPr="00343897">
        <w:rPr>
          <w:rFonts w:eastAsia="Times New Roman"/>
          <w:b/>
          <w:kern w:val="0"/>
          <w:szCs w:val="24"/>
          <w:lang w:eastAsia="lv-LV"/>
          <w14:ligatures w14:val="none"/>
        </w:rPr>
        <w:t xml:space="preserve"> saistošajos noteikumos Nr. </w:t>
      </w:r>
      <w:r>
        <w:rPr>
          <w:rFonts w:eastAsia="Times New Roman"/>
          <w:b/>
          <w:kern w:val="0"/>
          <w:szCs w:val="24"/>
          <w:lang w:eastAsia="lv-LV"/>
          <w14:ligatures w14:val="none"/>
        </w:rPr>
        <w:t>8</w:t>
      </w:r>
      <w:r w:rsidRPr="00343897">
        <w:rPr>
          <w:rFonts w:eastAsia="Times New Roman"/>
          <w:b/>
          <w:kern w:val="0"/>
          <w:szCs w:val="24"/>
          <w:lang w:eastAsia="lv-LV"/>
          <w14:ligatures w14:val="none"/>
        </w:rPr>
        <w:t xml:space="preserve"> "</w:t>
      </w:r>
      <w:r w:rsidRPr="00784A4A">
        <w:rPr>
          <w:rFonts w:eastAsia="Times New Roman"/>
          <w:b/>
          <w:kern w:val="0"/>
          <w:szCs w:val="24"/>
          <w:lang w:eastAsia="lv-LV"/>
          <w14:ligatures w14:val="none"/>
        </w:rPr>
        <w:t>Pabalsti bārenim vai bez vecāku gādības palikušajam bērnam un audžuģimenei Līvānu novadā""</w:t>
      </w:r>
      <w:r w:rsidRPr="00343897">
        <w:rPr>
          <w:rFonts w:eastAsia="Times New Roman"/>
          <w:b/>
          <w:kern w:val="0"/>
          <w:szCs w:val="24"/>
          <w:lang w:eastAsia="lv-LV"/>
          <w14:ligatures w14:val="none"/>
        </w:rPr>
        <w:br/>
        <w:t>paskaidrojuma raksts</w:t>
      </w:r>
    </w:p>
    <w:p w14:paraId="616F40C5" w14:textId="36DDC468" w:rsidR="003B2520" w:rsidRDefault="003B2520"/>
    <w:tbl>
      <w:tblPr>
        <w:tblStyle w:val="Reatabula"/>
        <w:tblW w:w="0" w:type="auto"/>
        <w:tblLook w:val="04A0" w:firstRow="1" w:lastRow="0" w:firstColumn="1" w:lastColumn="0" w:noHBand="0" w:noVBand="1"/>
      </w:tblPr>
      <w:tblGrid>
        <w:gridCol w:w="2118"/>
        <w:gridCol w:w="6178"/>
      </w:tblGrid>
      <w:tr w:rsidR="00E37E18" w:rsidRPr="00E37E18" w14:paraId="7E44FD3A" w14:textId="77777777" w:rsidTr="00E37E18">
        <w:tc>
          <w:tcPr>
            <w:tcW w:w="2118" w:type="dxa"/>
          </w:tcPr>
          <w:p w14:paraId="0C12745A" w14:textId="77777777" w:rsidR="00E37E18" w:rsidRPr="00E37E18" w:rsidRDefault="00E37E18" w:rsidP="00E37E18">
            <w:pPr>
              <w:jc w:val="center"/>
              <w:rPr>
                <w:color w:val="000000"/>
              </w:rPr>
            </w:pPr>
            <w:r w:rsidRPr="00E37E18">
              <w:rPr>
                <w:color w:val="000000"/>
              </w:rPr>
              <w:t>Paskaidrojuma raksta sadaļa</w:t>
            </w:r>
          </w:p>
        </w:tc>
        <w:tc>
          <w:tcPr>
            <w:tcW w:w="6178" w:type="dxa"/>
          </w:tcPr>
          <w:p w14:paraId="3B065DB0" w14:textId="77777777" w:rsidR="00E37E18" w:rsidRPr="00E37E18" w:rsidRDefault="00E37E18" w:rsidP="00E37E18">
            <w:pPr>
              <w:tabs>
                <w:tab w:val="left" w:pos="1490"/>
              </w:tabs>
              <w:rPr>
                <w:color w:val="000000"/>
              </w:rPr>
            </w:pPr>
            <w:r w:rsidRPr="00E37E18">
              <w:rPr>
                <w:color w:val="000000"/>
              </w:rPr>
              <w:tab/>
              <w:t>Norādāmā informācija</w:t>
            </w:r>
          </w:p>
        </w:tc>
      </w:tr>
      <w:tr w:rsidR="00E37E18" w:rsidRPr="00E37E18" w14:paraId="1773FCEE" w14:textId="77777777" w:rsidTr="00E37E18">
        <w:tc>
          <w:tcPr>
            <w:tcW w:w="2118" w:type="dxa"/>
          </w:tcPr>
          <w:p w14:paraId="37B3A789" w14:textId="77777777" w:rsidR="00E37E18" w:rsidRPr="00E37E18" w:rsidRDefault="00E37E18" w:rsidP="00E37E18">
            <w:pPr>
              <w:jc w:val="center"/>
              <w:rPr>
                <w:color w:val="000000"/>
              </w:rPr>
            </w:pPr>
            <w:r w:rsidRPr="00E37E18">
              <w:rPr>
                <w:color w:val="000000"/>
              </w:rPr>
              <w:t>1. Saistošo noteikumu mērķis un izdošanas nepieciešamības pamatojums</w:t>
            </w:r>
          </w:p>
        </w:tc>
        <w:tc>
          <w:tcPr>
            <w:tcW w:w="6178" w:type="dxa"/>
            <w:tcBorders>
              <w:top w:val="outset" w:sz="6" w:space="0" w:color="auto"/>
              <w:left w:val="outset" w:sz="6" w:space="0" w:color="auto"/>
              <w:bottom w:val="outset" w:sz="6" w:space="0" w:color="auto"/>
              <w:right w:val="outset" w:sz="6" w:space="0" w:color="auto"/>
            </w:tcBorders>
          </w:tcPr>
          <w:p w14:paraId="686E35FE" w14:textId="77777777" w:rsidR="00E37E18" w:rsidRPr="00F17104" w:rsidRDefault="00E37E18" w:rsidP="00E37E18">
            <w:pPr>
              <w:jc w:val="both"/>
              <w:rPr>
                <w:bCs/>
              </w:rPr>
            </w:pPr>
            <w:r w:rsidRPr="00F17104">
              <w:rPr>
                <w:color w:val="333333"/>
                <w:shd w:val="clear" w:color="auto" w:fill="FFFFFF"/>
              </w:rPr>
              <w:t>1.</w:t>
            </w:r>
            <w:r w:rsidRPr="00F92CC6">
              <w:rPr>
                <w:color w:val="333333"/>
                <w:shd w:val="clear" w:color="auto" w:fill="FFFFFF"/>
              </w:rPr>
              <w:t>1.</w:t>
            </w:r>
            <w:r w:rsidRPr="00F17104">
              <w:rPr>
                <w:color w:val="333333"/>
                <w:shd w:val="clear" w:color="auto" w:fill="FFFFFF"/>
              </w:rPr>
              <w:t xml:space="preserve"> Izstrādes pamatojums</w:t>
            </w:r>
          </w:p>
          <w:p w14:paraId="671A4D94" w14:textId="3D697A30" w:rsidR="00E37E18" w:rsidRPr="00A43556" w:rsidRDefault="00E37E18" w:rsidP="00E37E18">
            <w:pPr>
              <w:shd w:val="clear" w:color="auto" w:fill="FFFFFF"/>
              <w:jc w:val="both"/>
              <w:rPr>
                <w:color w:val="414142"/>
                <w:shd w:val="clear" w:color="auto" w:fill="FFFFFF"/>
              </w:rPr>
            </w:pPr>
            <w:r w:rsidRPr="00F92CC6">
              <w:rPr>
                <w:color w:val="333333"/>
              </w:rPr>
              <w:t>Līvānu</w:t>
            </w:r>
            <w:r w:rsidRPr="00F17104">
              <w:rPr>
                <w:color w:val="333333"/>
              </w:rPr>
              <w:t xml:space="preserve"> novada </w:t>
            </w:r>
            <w:r w:rsidRPr="00F92CC6">
              <w:rPr>
                <w:color w:val="333333"/>
              </w:rPr>
              <w:t xml:space="preserve">pašvaldības </w:t>
            </w:r>
            <w:r w:rsidRPr="00F17104">
              <w:rPr>
                <w:color w:val="333333"/>
              </w:rPr>
              <w:t xml:space="preserve">domes saistošo noteikumu projekts "Grozījumi </w:t>
            </w:r>
            <w:r w:rsidRPr="00F92CC6">
              <w:rPr>
                <w:color w:val="333333"/>
              </w:rPr>
              <w:t>Līvānu</w:t>
            </w:r>
            <w:r w:rsidRPr="00F17104">
              <w:rPr>
                <w:color w:val="333333"/>
              </w:rPr>
              <w:t xml:space="preserve"> novada </w:t>
            </w:r>
            <w:r w:rsidRPr="00F92CC6">
              <w:rPr>
                <w:color w:val="333333"/>
              </w:rPr>
              <w:t xml:space="preserve">pašvaldības </w:t>
            </w:r>
            <w:r w:rsidRPr="00F17104">
              <w:rPr>
                <w:color w:val="333333"/>
              </w:rPr>
              <w:t>domes 202</w:t>
            </w:r>
            <w:r w:rsidRPr="00F92CC6">
              <w:rPr>
                <w:color w:val="333333"/>
              </w:rPr>
              <w:t>3</w:t>
            </w:r>
            <w:r w:rsidRPr="00F17104">
              <w:rPr>
                <w:color w:val="333333"/>
              </w:rPr>
              <w:t xml:space="preserve">. gada </w:t>
            </w:r>
            <w:r w:rsidRPr="00F92CC6">
              <w:rPr>
                <w:color w:val="333333"/>
              </w:rPr>
              <w:t>30</w:t>
            </w:r>
            <w:r w:rsidRPr="00F17104">
              <w:rPr>
                <w:color w:val="333333"/>
              </w:rPr>
              <w:t xml:space="preserve">. novembra saistošajos noteikumos Nr. </w:t>
            </w:r>
            <w:r w:rsidRPr="00F92CC6">
              <w:rPr>
                <w:color w:val="333333"/>
              </w:rPr>
              <w:t>8</w:t>
            </w:r>
            <w:r w:rsidRPr="00F17104">
              <w:rPr>
                <w:color w:val="333333"/>
              </w:rPr>
              <w:t xml:space="preserve"> </w:t>
            </w:r>
            <w:r w:rsidRPr="00D35DCC">
              <w:rPr>
                <w:color w:val="333333"/>
              </w:rPr>
              <w:t>"</w:t>
            </w:r>
            <w:r w:rsidRPr="00D35DCC">
              <w:t>Pabalsti bārenim vai bez vecāku gādības palikušajam bērnam un audžuģimenei Līvānu novadā</w:t>
            </w:r>
            <w:r w:rsidRPr="00D35DCC">
              <w:rPr>
                <w:color w:val="333333"/>
              </w:rPr>
              <w:t xml:space="preserve">"" (turpmāk – saistošo noteikumu projekts) izstrādāts, pamatojoties uz </w:t>
            </w:r>
            <w:r w:rsidRPr="00D35DCC">
              <w:t xml:space="preserve">Ministru kabineta 2025. gada 19. novembra noteikumiem Nr. 680 ”Grozījums Ministru kabineta 2015. gada 24. novembra noteikumos Nr. 656 "Noteikumi par minimālās mēneša darba algas apmēru normālā darba laika ietvaros un minimālās stundas tarifa likmes aprēķināšanu", Sociālo pakalpojumu un palīdzības likuma </w:t>
            </w:r>
            <w:r w:rsidRPr="00D35DCC">
              <w:rPr>
                <w:color w:val="414142"/>
              </w:rPr>
              <w:t>4.panta 4.daļu Sociālo pakalpojumu sniegšanas pamatprincipi - bāreņiem un bez vecāku gādības palikušajiem bērniem nodrošināma aprūpe ģimeniskā vidē — audžuģimenē, pie aizbildņa, un tikai tad, ja tas nav iespējams, aprūpe tiek nodrošināta ilgstošas sociālās aprūpes un sociālās rehabilitācijas institūcijā, 2018. gada 26. jūnija Ministru kabineta noteikumu Nr. 354</w:t>
            </w:r>
            <w:r w:rsidRPr="00D35DCC">
              <w:rPr>
                <w:color w:val="414142"/>
              </w:rPr>
              <w:br/>
              <w:t xml:space="preserve">Audžuģimenes noteikumu </w:t>
            </w:r>
            <w:r w:rsidRPr="00F92CC6">
              <w:rPr>
                <w:color w:val="414142"/>
                <w:shd w:val="clear" w:color="auto" w:fill="FFFFFF"/>
              </w:rPr>
              <w:t>8.</w:t>
            </w:r>
            <w:r w:rsidR="00575958">
              <w:rPr>
                <w:color w:val="414142"/>
                <w:shd w:val="clear" w:color="auto" w:fill="FFFFFF"/>
              </w:rPr>
              <w:t xml:space="preserve"> </w:t>
            </w:r>
            <w:r w:rsidRPr="00A43556">
              <w:rPr>
                <w:color w:val="414142"/>
                <w:shd w:val="clear" w:color="auto" w:fill="FFFFFF"/>
              </w:rPr>
              <w:t>punktu pabalstu bērna uzturam un pabalstu apģērba un mīkstā inventāra iegādei audžuģimenei izmaksā no tās pašvaldības budžeta līdzekļiem, kura noslēgusi līgumu ar audžuģimeni.</w:t>
            </w:r>
          </w:p>
          <w:p w14:paraId="535C8916" w14:textId="77777777" w:rsidR="00DD09BB" w:rsidRDefault="00E37E18" w:rsidP="005B3CA3">
            <w:pPr>
              <w:shd w:val="clear" w:color="auto" w:fill="FFFFFF"/>
              <w:jc w:val="both"/>
              <w:rPr>
                <w:color w:val="414142"/>
              </w:rPr>
            </w:pPr>
            <w:r w:rsidRPr="00F92CC6">
              <w:rPr>
                <w:color w:val="414142"/>
              </w:rPr>
              <w:t xml:space="preserve"> 2026. gada</w:t>
            </w:r>
            <w:r>
              <w:rPr>
                <w:color w:val="414142"/>
              </w:rPr>
              <w:t xml:space="preserve"> </w:t>
            </w:r>
            <w:r w:rsidR="007C2A38">
              <w:rPr>
                <w:color w:val="414142"/>
              </w:rPr>
              <w:t xml:space="preserve">valsts </w:t>
            </w:r>
            <w:r w:rsidRPr="00F92CC6">
              <w:rPr>
                <w:color w:val="414142"/>
              </w:rPr>
              <w:t>budžeta izstrādes procesā saskaņā ar Ministru kabineta 2025. gada 22.</w:t>
            </w:r>
            <w:r w:rsidR="007C2A38">
              <w:rPr>
                <w:color w:val="414142"/>
              </w:rPr>
              <w:t xml:space="preserve"> </w:t>
            </w:r>
            <w:r w:rsidRPr="00F92CC6">
              <w:rPr>
                <w:color w:val="414142"/>
              </w:rPr>
              <w:t>septembra</w:t>
            </w:r>
            <w:r>
              <w:rPr>
                <w:color w:val="414142"/>
              </w:rPr>
              <w:t xml:space="preserve"> </w:t>
            </w:r>
            <w:r w:rsidRPr="00F92CC6">
              <w:rPr>
                <w:color w:val="414142"/>
              </w:rPr>
              <w:t>sēdes protokola Nr. 38 1.§ "Informatīvais ziņojums "Par valsts budžeta</w:t>
            </w:r>
            <w:r>
              <w:rPr>
                <w:color w:val="414142"/>
              </w:rPr>
              <w:t xml:space="preserve"> </w:t>
            </w:r>
            <w:r w:rsidRPr="00F92CC6">
              <w:rPr>
                <w:color w:val="414142"/>
              </w:rPr>
              <w:t>likumprojektā iekļaujamiem prioritārajiem pasākumiem 2026., 2027. un 2028.</w:t>
            </w:r>
            <w:r>
              <w:rPr>
                <w:color w:val="414142"/>
              </w:rPr>
              <w:t xml:space="preserve"> </w:t>
            </w:r>
            <w:r w:rsidRPr="00F92CC6">
              <w:rPr>
                <w:color w:val="414142"/>
              </w:rPr>
              <w:t xml:space="preserve">gadam"" 2. punktu ir atbalstīti </w:t>
            </w:r>
            <w:r w:rsidR="00C31BB1">
              <w:rPr>
                <w:color w:val="414142"/>
              </w:rPr>
              <w:lastRenderedPageBreak/>
              <w:t xml:space="preserve">Labklājības </w:t>
            </w:r>
            <w:r w:rsidRPr="00F92CC6">
              <w:rPr>
                <w:color w:val="414142"/>
              </w:rPr>
              <w:t>ministrijas</w:t>
            </w:r>
            <w:r w:rsidR="00B158B2">
              <w:rPr>
                <w:color w:val="414142"/>
              </w:rPr>
              <w:t xml:space="preserve"> ( turpmāk – ministrija )</w:t>
            </w:r>
            <w:r w:rsidRPr="00F92CC6">
              <w:rPr>
                <w:color w:val="414142"/>
              </w:rPr>
              <w:t xml:space="preserve"> prioritārie pasākumi "Materiālā atbalsta</w:t>
            </w:r>
            <w:r>
              <w:rPr>
                <w:color w:val="414142"/>
              </w:rPr>
              <w:t xml:space="preserve"> </w:t>
            </w:r>
            <w:r w:rsidRPr="00F92CC6">
              <w:rPr>
                <w:color w:val="414142"/>
              </w:rPr>
              <w:t>(pabalstu) pilnveidošana ģimenēm ar bērniem" un "Materiālā atbalsta pilnveidošana</w:t>
            </w:r>
            <w:r>
              <w:rPr>
                <w:color w:val="414142"/>
              </w:rPr>
              <w:t xml:space="preserve"> </w:t>
            </w:r>
            <w:proofErr w:type="spellStart"/>
            <w:r w:rsidRPr="00F92CC6">
              <w:rPr>
                <w:color w:val="414142"/>
              </w:rPr>
              <w:t>ārpusģimenes</w:t>
            </w:r>
            <w:proofErr w:type="spellEnd"/>
            <w:r w:rsidRPr="00F92CC6">
              <w:rPr>
                <w:color w:val="414142"/>
              </w:rPr>
              <w:t xml:space="preserve"> aprūpē esošiem bērniem" 2026. gadā un turpmāk ik gadu, kas ietver</w:t>
            </w:r>
            <w:r>
              <w:rPr>
                <w:color w:val="414142"/>
              </w:rPr>
              <w:t xml:space="preserve"> </w:t>
            </w:r>
            <w:r w:rsidRPr="00F92CC6">
              <w:rPr>
                <w:color w:val="414142"/>
              </w:rPr>
              <w:t>arī pabalsta minimālā apmēra bērna uzturam audžuģimenē pārskatīšanu. Atbalstīti ministrijas prioritārie pasākumi "Materiālā atbalsta</w:t>
            </w:r>
            <w:r>
              <w:rPr>
                <w:color w:val="414142"/>
              </w:rPr>
              <w:t xml:space="preserve"> </w:t>
            </w:r>
            <w:r w:rsidRPr="00F92CC6">
              <w:rPr>
                <w:color w:val="414142"/>
              </w:rPr>
              <w:t>(pabalstu) pilnveidošana ģimenēm ar bērniem" un "Materiālā atbalsta pilnveidošana</w:t>
            </w:r>
            <w:r>
              <w:rPr>
                <w:color w:val="414142"/>
              </w:rPr>
              <w:t xml:space="preserve"> </w:t>
            </w:r>
            <w:proofErr w:type="spellStart"/>
            <w:r w:rsidRPr="00F92CC6">
              <w:rPr>
                <w:color w:val="414142"/>
              </w:rPr>
              <w:t>ārpusģimenes</w:t>
            </w:r>
            <w:proofErr w:type="spellEnd"/>
            <w:r w:rsidRPr="00F92CC6">
              <w:rPr>
                <w:color w:val="414142"/>
              </w:rPr>
              <w:t xml:space="preserve"> aprūpē esošiem bērniem" 2026. gadā un turpmāk ik gadu, kas ietver</w:t>
            </w:r>
            <w:r>
              <w:rPr>
                <w:color w:val="414142"/>
              </w:rPr>
              <w:t xml:space="preserve"> </w:t>
            </w:r>
            <w:r w:rsidRPr="00F92CC6">
              <w:rPr>
                <w:color w:val="414142"/>
              </w:rPr>
              <w:t>arī pabalsta minimālā apmēra bērna uzturam audžuģimenē pārskatīšanu.</w:t>
            </w:r>
            <w:r>
              <w:rPr>
                <w:color w:val="414142"/>
              </w:rPr>
              <w:t xml:space="preserve"> </w:t>
            </w:r>
            <w:r w:rsidR="005B3CA3" w:rsidRPr="005B3CA3">
              <w:rPr>
                <w:color w:val="414142"/>
              </w:rPr>
              <w:t>Ministru kabineta</w:t>
            </w:r>
            <w:r w:rsidR="005B3CA3">
              <w:rPr>
                <w:color w:val="414142"/>
              </w:rPr>
              <w:t xml:space="preserve"> </w:t>
            </w:r>
            <w:r w:rsidR="005B3CA3" w:rsidRPr="005B3CA3">
              <w:rPr>
                <w:color w:val="414142"/>
              </w:rPr>
              <w:t>20</w:t>
            </w:r>
            <w:r w:rsidR="00457356">
              <w:rPr>
                <w:color w:val="414142"/>
              </w:rPr>
              <w:t>25</w:t>
            </w:r>
            <w:r w:rsidR="005B3CA3" w:rsidRPr="005B3CA3">
              <w:rPr>
                <w:color w:val="414142"/>
              </w:rPr>
              <w:t>. gada 2</w:t>
            </w:r>
            <w:r w:rsidR="00DD09BB">
              <w:rPr>
                <w:color w:val="414142"/>
              </w:rPr>
              <w:t>2</w:t>
            </w:r>
            <w:r w:rsidR="005B3CA3" w:rsidRPr="005B3CA3">
              <w:rPr>
                <w:color w:val="414142"/>
              </w:rPr>
              <w:t>.</w:t>
            </w:r>
            <w:r w:rsidR="00DD09BB">
              <w:rPr>
                <w:color w:val="414142"/>
              </w:rPr>
              <w:t xml:space="preserve"> decembra</w:t>
            </w:r>
            <w:r w:rsidR="005B3CA3" w:rsidRPr="005B3CA3">
              <w:rPr>
                <w:color w:val="414142"/>
              </w:rPr>
              <w:t xml:space="preserve"> noteikum</w:t>
            </w:r>
            <w:r w:rsidR="005B3CA3">
              <w:rPr>
                <w:color w:val="414142"/>
              </w:rPr>
              <w:t>i</w:t>
            </w:r>
            <w:r w:rsidR="005B3CA3" w:rsidRPr="005B3CA3">
              <w:rPr>
                <w:color w:val="414142"/>
              </w:rPr>
              <w:t xml:space="preserve"> Nr.</w:t>
            </w:r>
            <w:r w:rsidR="00DD09BB">
              <w:rPr>
                <w:color w:val="414142"/>
              </w:rPr>
              <w:t xml:space="preserve"> 849</w:t>
            </w:r>
          </w:p>
          <w:p w14:paraId="7D5E1558" w14:textId="78B9B54B" w:rsidR="00E37E18" w:rsidRPr="00DB542B" w:rsidRDefault="005B3CA3" w:rsidP="00E37E18">
            <w:pPr>
              <w:shd w:val="clear" w:color="auto" w:fill="FFFFFF"/>
              <w:jc w:val="both"/>
              <w:rPr>
                <w:color w:val="414142"/>
              </w:rPr>
            </w:pPr>
            <w:r w:rsidRPr="005B3CA3">
              <w:rPr>
                <w:color w:val="414142"/>
              </w:rPr>
              <w:t xml:space="preserve"> "</w:t>
            </w:r>
            <w:r w:rsidR="00457356" w:rsidRPr="00457356">
              <w:rPr>
                <w:color w:val="414142"/>
              </w:rPr>
              <w:t>Grozījumi Ministru kabineta 2018. gada 26. jūnija noteikumos Nr. 354 "Audžuģimenes noteikumi"</w:t>
            </w:r>
            <w:r w:rsidR="00BE08B8">
              <w:rPr>
                <w:color w:val="414142"/>
              </w:rPr>
              <w:t xml:space="preserve"> </w:t>
            </w:r>
            <w:r w:rsidR="00E37E18" w:rsidRPr="00F92CC6">
              <w:rPr>
                <w:color w:val="414142"/>
              </w:rPr>
              <w:t>paredz no 2026. gada 1. janvāra</w:t>
            </w:r>
            <w:r w:rsidR="00E37E18">
              <w:rPr>
                <w:color w:val="414142"/>
              </w:rPr>
              <w:t xml:space="preserve"> </w:t>
            </w:r>
            <w:r w:rsidR="00E37E18" w:rsidRPr="00F92CC6">
              <w:rPr>
                <w:color w:val="414142"/>
              </w:rPr>
              <w:t>pabalsta audžuģimenē esoša bērna uzturam minimālo apmēru noteikt divkāršā</w:t>
            </w:r>
            <w:r w:rsidR="00E37E18">
              <w:rPr>
                <w:color w:val="414142"/>
              </w:rPr>
              <w:t xml:space="preserve"> </w:t>
            </w:r>
            <w:r w:rsidR="00E37E18" w:rsidRPr="00F92CC6">
              <w:rPr>
                <w:color w:val="414142"/>
              </w:rPr>
              <w:t>Civillikumā noteikto minimālo uzturlīdzekļu apmērā atkarībā no bērna vecuma,</w:t>
            </w:r>
            <w:r w:rsidR="00BE08B8">
              <w:rPr>
                <w:color w:val="414142"/>
              </w:rPr>
              <w:t xml:space="preserve"> </w:t>
            </w:r>
            <w:r w:rsidR="00E37E18" w:rsidRPr="00F92CC6">
              <w:rPr>
                <w:color w:val="414142"/>
              </w:rPr>
              <w:t>proti, par bērnu līdz septiņu gadu vecuma sasniegšanai - 50 % apmērā no Ministru</w:t>
            </w:r>
            <w:r w:rsidR="00E37E18">
              <w:rPr>
                <w:color w:val="414142"/>
              </w:rPr>
              <w:t xml:space="preserve"> </w:t>
            </w:r>
            <w:r w:rsidR="00E37E18" w:rsidRPr="00F92CC6">
              <w:rPr>
                <w:color w:val="414142"/>
              </w:rPr>
              <w:t>kabineta noteiktās minimālās mēneša darba algas</w:t>
            </w:r>
            <w:r w:rsidR="00E37E18">
              <w:rPr>
                <w:color w:val="414142"/>
              </w:rPr>
              <w:t xml:space="preserve">, </w:t>
            </w:r>
            <w:r w:rsidR="00E37E18" w:rsidRPr="00F92CC6">
              <w:rPr>
                <w:color w:val="414142"/>
              </w:rPr>
              <w:t>bet par bērnu vecumā no septiņiem gadiem – 60 % apmērā no minimālās darba algas.</w:t>
            </w:r>
            <w:r w:rsidR="00E37E18">
              <w:rPr>
                <w:color w:val="414142"/>
              </w:rPr>
              <w:t xml:space="preserve"> </w:t>
            </w:r>
            <w:r w:rsidR="00E37E18" w:rsidRPr="00F92CC6">
              <w:rPr>
                <w:color w:val="414142"/>
              </w:rPr>
              <w:t>Tādējādi</w:t>
            </w:r>
            <w:r w:rsidR="00E37E18">
              <w:rPr>
                <w:color w:val="414142"/>
              </w:rPr>
              <w:t>,</w:t>
            </w:r>
            <w:r w:rsidR="00E37E18" w:rsidRPr="00F92CC6">
              <w:rPr>
                <w:color w:val="414142"/>
              </w:rPr>
              <w:t xml:space="preserve"> pabalsta bērna uztura audžuģimenē minimālais apmērs no 2026.</w:t>
            </w:r>
            <w:r w:rsidR="00E37E18">
              <w:rPr>
                <w:color w:val="414142"/>
              </w:rPr>
              <w:t xml:space="preserve"> </w:t>
            </w:r>
            <w:r w:rsidR="00E37E18" w:rsidRPr="00F92CC6">
              <w:rPr>
                <w:color w:val="414142"/>
              </w:rPr>
              <w:t>gada</w:t>
            </w:r>
            <w:r w:rsidR="00E37E18">
              <w:rPr>
                <w:color w:val="414142"/>
              </w:rPr>
              <w:t xml:space="preserve"> ir</w:t>
            </w:r>
            <w:r w:rsidR="00E37E18" w:rsidRPr="00F92CC6">
              <w:rPr>
                <w:color w:val="414142"/>
              </w:rPr>
              <w:t xml:space="preserve"> 390</w:t>
            </w:r>
            <w:r w:rsidR="00E37E18">
              <w:rPr>
                <w:color w:val="414142"/>
              </w:rPr>
              <w:t>,00</w:t>
            </w:r>
            <w:r w:rsidR="00E37E18" w:rsidRPr="00F92CC6">
              <w:rPr>
                <w:color w:val="414142"/>
              </w:rPr>
              <w:t xml:space="preserve"> </w:t>
            </w:r>
            <w:proofErr w:type="spellStart"/>
            <w:r w:rsidR="00E37E18" w:rsidRPr="00F92CC6">
              <w:rPr>
                <w:color w:val="414142"/>
              </w:rPr>
              <w:t>euro</w:t>
            </w:r>
            <w:proofErr w:type="spellEnd"/>
            <w:r w:rsidR="00E37E18" w:rsidRPr="00F92CC6">
              <w:rPr>
                <w:color w:val="414142"/>
              </w:rPr>
              <w:t xml:space="preserve"> mēnesī par bērnu vecumā līdz</w:t>
            </w:r>
            <w:r w:rsidR="00AA3476">
              <w:rPr>
                <w:color w:val="414142"/>
              </w:rPr>
              <w:t xml:space="preserve"> </w:t>
            </w:r>
            <w:r w:rsidR="00F0130D" w:rsidRPr="00F0130D">
              <w:rPr>
                <w:color w:val="414142"/>
              </w:rPr>
              <w:t>septiņu gadu vecuma sasniegšanai</w:t>
            </w:r>
            <w:r w:rsidR="00F0130D" w:rsidRPr="00F0130D">
              <w:rPr>
                <w:color w:val="414142"/>
              </w:rPr>
              <w:t xml:space="preserve"> </w:t>
            </w:r>
            <w:r w:rsidR="00E37E18" w:rsidRPr="00F92CC6">
              <w:rPr>
                <w:color w:val="414142"/>
              </w:rPr>
              <w:t>vai 468</w:t>
            </w:r>
            <w:r w:rsidR="00E37E18">
              <w:rPr>
                <w:color w:val="414142"/>
              </w:rPr>
              <w:t>,00</w:t>
            </w:r>
            <w:r w:rsidR="00E37E18" w:rsidRPr="00F92CC6">
              <w:rPr>
                <w:color w:val="414142"/>
              </w:rPr>
              <w:t xml:space="preserve"> </w:t>
            </w:r>
            <w:proofErr w:type="spellStart"/>
            <w:r w:rsidR="00E37E18" w:rsidRPr="00F92CC6">
              <w:rPr>
                <w:color w:val="414142"/>
              </w:rPr>
              <w:t>euro</w:t>
            </w:r>
            <w:proofErr w:type="spellEnd"/>
            <w:r w:rsidR="00E37E18" w:rsidRPr="00F92CC6">
              <w:rPr>
                <w:color w:val="414142"/>
              </w:rPr>
              <w:t xml:space="preserve"> par bērnu</w:t>
            </w:r>
            <w:r w:rsidR="00145A16">
              <w:t xml:space="preserve"> </w:t>
            </w:r>
            <w:r w:rsidR="00145A16" w:rsidRPr="00145A16">
              <w:rPr>
                <w:color w:val="414142"/>
              </w:rPr>
              <w:t>vecumā no septiņiem gadiem</w:t>
            </w:r>
            <w:r w:rsidR="00E37E18" w:rsidRPr="00F92CC6">
              <w:rPr>
                <w:color w:val="414142"/>
              </w:rPr>
              <w:t>.</w:t>
            </w:r>
            <w:r w:rsidR="00E37E18">
              <w:rPr>
                <w:color w:val="414142"/>
              </w:rPr>
              <w:t xml:space="preserve"> </w:t>
            </w:r>
          </w:p>
          <w:p w14:paraId="1D65D884" w14:textId="77777777" w:rsidR="00E37E18" w:rsidRPr="00F17104" w:rsidRDefault="00E37E18" w:rsidP="00E37E18">
            <w:pPr>
              <w:shd w:val="clear" w:color="auto" w:fill="FFFFFF"/>
              <w:spacing w:line="360" w:lineRule="atLeast"/>
              <w:jc w:val="both"/>
              <w:rPr>
                <w:bCs/>
                <w:color w:val="333333"/>
              </w:rPr>
            </w:pPr>
            <w:r w:rsidRPr="00F17104">
              <w:rPr>
                <w:color w:val="333333"/>
              </w:rPr>
              <w:t>1.2. Mērķis</w:t>
            </w:r>
          </w:p>
          <w:p w14:paraId="38FEAD94" w14:textId="2262E08D" w:rsidR="00E37E18" w:rsidRPr="00A72F31" w:rsidRDefault="00E37E18" w:rsidP="00E37E18">
            <w:pPr>
              <w:shd w:val="clear" w:color="auto" w:fill="FFFFFF"/>
              <w:spacing w:line="360" w:lineRule="atLeast"/>
              <w:jc w:val="both"/>
              <w:rPr>
                <w:color w:val="333333"/>
              </w:rPr>
            </w:pPr>
            <w:r w:rsidRPr="00F17104">
              <w:rPr>
                <w:color w:val="333333"/>
              </w:rPr>
              <w:t>Saistošo noteikumu projekta mērķis ir</w:t>
            </w:r>
            <w:r>
              <w:rPr>
                <w:bCs/>
                <w:color w:val="333333"/>
              </w:rPr>
              <w:t xml:space="preserve"> grozīt</w:t>
            </w:r>
            <w:r w:rsidRPr="00F17104">
              <w:rPr>
                <w:color w:val="333333"/>
              </w:rPr>
              <w:t xml:space="preserve"> </w:t>
            </w:r>
            <w:r w:rsidRPr="00F92CC6">
              <w:rPr>
                <w:color w:val="333333"/>
              </w:rPr>
              <w:t>Līvānu</w:t>
            </w:r>
            <w:r w:rsidRPr="00F17104">
              <w:rPr>
                <w:color w:val="333333"/>
              </w:rPr>
              <w:t xml:space="preserve"> novada </w:t>
            </w:r>
            <w:r w:rsidRPr="00F92CC6">
              <w:rPr>
                <w:color w:val="333333"/>
              </w:rPr>
              <w:t xml:space="preserve">pašvaldības </w:t>
            </w:r>
            <w:r w:rsidRPr="00F17104">
              <w:rPr>
                <w:color w:val="333333"/>
              </w:rPr>
              <w:t xml:space="preserve">domes 2023. gada </w:t>
            </w:r>
            <w:r w:rsidRPr="00F92CC6">
              <w:rPr>
                <w:color w:val="333333"/>
              </w:rPr>
              <w:t>30</w:t>
            </w:r>
            <w:r w:rsidRPr="00F17104">
              <w:rPr>
                <w:color w:val="333333"/>
              </w:rPr>
              <w:t xml:space="preserve">. novembra saistošos noteikumus Nr. </w:t>
            </w:r>
            <w:r w:rsidRPr="00F92CC6">
              <w:rPr>
                <w:color w:val="333333"/>
              </w:rPr>
              <w:t>8</w:t>
            </w:r>
            <w:r w:rsidRPr="00F17104">
              <w:rPr>
                <w:color w:val="333333"/>
              </w:rPr>
              <w:t xml:space="preserve"> </w:t>
            </w:r>
            <w:r w:rsidRPr="00D35DCC">
              <w:rPr>
                <w:color w:val="333333"/>
              </w:rPr>
              <w:t>"</w:t>
            </w:r>
            <w:r w:rsidRPr="00D35DCC">
              <w:t>Pabalsti bārenim vai bez vecāku gādības palikušajam bērnam un audžuģimenei Līvānu novadā</w:t>
            </w:r>
            <w:r w:rsidRPr="00D35DCC">
              <w:rPr>
                <w:color w:val="333333"/>
              </w:rPr>
              <w:t>"</w:t>
            </w:r>
            <w:r w:rsidRPr="00F17104">
              <w:rPr>
                <w:color w:val="333333"/>
              </w:rPr>
              <w:t xml:space="preserve"> (turpmāk – Saistošie noteikumi Nr. </w:t>
            </w:r>
            <w:r w:rsidRPr="00F92CC6">
              <w:rPr>
                <w:color w:val="333333"/>
              </w:rPr>
              <w:t>8</w:t>
            </w:r>
            <w:r w:rsidRPr="00F17104">
              <w:rPr>
                <w:color w:val="333333"/>
              </w:rPr>
              <w:t xml:space="preserve">) </w:t>
            </w:r>
            <w:r>
              <w:rPr>
                <w:bCs/>
                <w:color w:val="333333"/>
              </w:rPr>
              <w:t xml:space="preserve"> saskaņā ar </w:t>
            </w:r>
            <w:r w:rsidRPr="00901D2F">
              <w:rPr>
                <w:color w:val="333333"/>
              </w:rPr>
              <w:t>Ministru kabineta 2018. gada 26. jūnija</w:t>
            </w:r>
            <w:r w:rsidR="00A72F31">
              <w:rPr>
                <w:color w:val="333333"/>
              </w:rPr>
              <w:t xml:space="preserve"> </w:t>
            </w:r>
            <w:r w:rsidRPr="00901D2F">
              <w:rPr>
                <w:color w:val="333333"/>
              </w:rPr>
              <w:t>noteikum</w:t>
            </w:r>
            <w:r w:rsidR="00A72F31">
              <w:rPr>
                <w:color w:val="333333"/>
              </w:rPr>
              <w:t>u</w:t>
            </w:r>
            <w:r w:rsidRPr="00901D2F">
              <w:rPr>
                <w:color w:val="333333"/>
              </w:rPr>
              <w:t xml:space="preserve"> Nr. 354 "Audžuģimenes noteikumi" 78.1. punktu</w:t>
            </w:r>
            <w:r w:rsidRPr="00F92CC6">
              <w:rPr>
                <w:color w:val="333333"/>
              </w:rPr>
              <w:t>.</w:t>
            </w:r>
          </w:p>
          <w:p w14:paraId="592FBD0A" w14:textId="77777777" w:rsidR="00E37E18" w:rsidRPr="00E37E18" w:rsidRDefault="00E37E18" w:rsidP="00E37E18">
            <w:pPr>
              <w:jc w:val="both"/>
              <w:rPr>
                <w:color w:val="000000"/>
              </w:rPr>
            </w:pPr>
          </w:p>
        </w:tc>
      </w:tr>
      <w:tr w:rsidR="00E37E18" w:rsidRPr="00E37E18" w14:paraId="3F41C3F3" w14:textId="77777777" w:rsidTr="00E37E18">
        <w:tc>
          <w:tcPr>
            <w:tcW w:w="2118" w:type="dxa"/>
          </w:tcPr>
          <w:p w14:paraId="57BAF733" w14:textId="77777777" w:rsidR="00E37E18" w:rsidRPr="00E37E18" w:rsidRDefault="00E37E18" w:rsidP="00E37E18">
            <w:pPr>
              <w:jc w:val="center"/>
              <w:rPr>
                <w:color w:val="000000"/>
              </w:rPr>
            </w:pPr>
            <w:r w:rsidRPr="00E37E18">
              <w:rPr>
                <w:color w:val="000000"/>
              </w:rPr>
              <w:lastRenderedPageBreak/>
              <w:t>2. Saistošo noteikumu fiskālā ietekme uz pašvaldības budžetu</w:t>
            </w:r>
          </w:p>
        </w:tc>
        <w:tc>
          <w:tcPr>
            <w:tcW w:w="6178" w:type="dxa"/>
            <w:tcBorders>
              <w:top w:val="outset" w:sz="6" w:space="0" w:color="auto"/>
              <w:left w:val="outset" w:sz="6" w:space="0" w:color="auto"/>
              <w:bottom w:val="outset" w:sz="6" w:space="0" w:color="auto"/>
              <w:right w:val="outset" w:sz="6" w:space="0" w:color="auto"/>
            </w:tcBorders>
            <w:vAlign w:val="center"/>
          </w:tcPr>
          <w:p w14:paraId="6C2AC12D" w14:textId="7BCE60A6" w:rsidR="00E37E18" w:rsidRPr="00E37E18" w:rsidRDefault="001A2885" w:rsidP="00E37E18">
            <w:pPr>
              <w:jc w:val="both"/>
              <w:rPr>
                <w:color w:val="000000"/>
              </w:rPr>
            </w:pPr>
            <w:r w:rsidRPr="001A2885">
              <w:t>Grozījumi neietekmē pašvaldības budžetu. Noteikumu projekta izpilde tiks īstenota esošo cilvēkresursu ietvaros, papildu resursi sakarā ar jaunu institūciju vai darba vietu veidošanu un esošo institūciju kompetences paplašināšanu, lai nodrošinātu saistošo noteikumu izpildi, nav nepieciešami.</w:t>
            </w:r>
          </w:p>
        </w:tc>
      </w:tr>
      <w:tr w:rsidR="00E37E18" w:rsidRPr="00E37E18" w14:paraId="5F9A3C65" w14:textId="77777777" w:rsidTr="00E37E18">
        <w:tc>
          <w:tcPr>
            <w:tcW w:w="2118" w:type="dxa"/>
          </w:tcPr>
          <w:p w14:paraId="59070AA2" w14:textId="77777777" w:rsidR="00E37E18" w:rsidRPr="00E37E18" w:rsidRDefault="00E37E18" w:rsidP="00E37E18">
            <w:pPr>
              <w:jc w:val="center"/>
              <w:rPr>
                <w:color w:val="000000"/>
              </w:rPr>
            </w:pPr>
            <w:r w:rsidRPr="00E37E18">
              <w:rPr>
                <w:color w:val="000000"/>
              </w:rPr>
              <w:t xml:space="preserve">3. Saistošo noteikumu sociālā ietekme, ietekme uz vidi, iedzīvotāju veselību, uzņēmējdarbības vidi pašvaldības teritorijā, kā arī </w:t>
            </w:r>
            <w:r w:rsidRPr="00E37E18">
              <w:rPr>
                <w:color w:val="000000"/>
              </w:rPr>
              <w:lastRenderedPageBreak/>
              <w:t>plānotā regulējuma ietekme uz konkurenci</w:t>
            </w:r>
          </w:p>
        </w:tc>
        <w:tc>
          <w:tcPr>
            <w:tcW w:w="6178" w:type="dxa"/>
            <w:tcBorders>
              <w:top w:val="outset" w:sz="6" w:space="0" w:color="auto"/>
              <w:left w:val="outset" w:sz="6" w:space="0" w:color="auto"/>
              <w:bottom w:val="outset" w:sz="6" w:space="0" w:color="auto"/>
              <w:right w:val="outset" w:sz="6" w:space="0" w:color="auto"/>
            </w:tcBorders>
          </w:tcPr>
          <w:p w14:paraId="78217415" w14:textId="275C9BC3" w:rsidR="00981003" w:rsidRDefault="00981003" w:rsidP="00E37E18">
            <w:pPr>
              <w:jc w:val="both"/>
            </w:pPr>
            <w:r w:rsidRPr="00981003">
              <w:lastRenderedPageBreak/>
              <w:t>3.1. Sociālā ietekme – saistošo noteikumu</w:t>
            </w:r>
            <w:r w:rsidR="00B61639">
              <w:t xml:space="preserve"> grozījumu</w:t>
            </w:r>
            <w:r w:rsidRPr="00981003">
              <w:t xml:space="preserve"> regulējums labvēlīgi ietekmē cilvēku dzīvesveidu, labsajūtu,</w:t>
            </w:r>
            <w:r>
              <w:t xml:space="preserve"> materiālo nodrošinājumu</w:t>
            </w:r>
            <w:r w:rsidRPr="00981003">
              <w:t>.</w:t>
            </w:r>
          </w:p>
          <w:p w14:paraId="43A30240" w14:textId="39DCACDA" w:rsidR="00E37E18" w:rsidRPr="00E37E18" w:rsidRDefault="00981003" w:rsidP="00E37E18">
            <w:pPr>
              <w:jc w:val="both"/>
              <w:rPr>
                <w:color w:val="000000"/>
              </w:rPr>
            </w:pPr>
            <w:r>
              <w:t>3.2. Uz pārējām jomām ietekme n</w:t>
            </w:r>
            <w:r w:rsidR="00E37E18" w:rsidRPr="00343897">
              <w:t>etiek prognozēta.</w:t>
            </w:r>
          </w:p>
        </w:tc>
      </w:tr>
      <w:tr w:rsidR="00E37E18" w:rsidRPr="00E37E18" w14:paraId="0B90512D" w14:textId="77777777" w:rsidTr="00E37E18">
        <w:tc>
          <w:tcPr>
            <w:tcW w:w="2118" w:type="dxa"/>
          </w:tcPr>
          <w:p w14:paraId="3B0BE527" w14:textId="77777777" w:rsidR="00E37E18" w:rsidRPr="00E37E18" w:rsidRDefault="00E37E18" w:rsidP="00E37E18">
            <w:pPr>
              <w:jc w:val="center"/>
              <w:rPr>
                <w:color w:val="000000"/>
              </w:rPr>
            </w:pPr>
            <w:r w:rsidRPr="00E37E18">
              <w:rPr>
                <w:color w:val="000000"/>
              </w:rPr>
              <w:t>4. Saistošo noteikumu ietekme uz administratīvajām procedūrām un to izmaksām gan attiecībā uz saimnieciskās darbības veicējiem, gan fiziskajām personām un nevalstiskā sektora organizācijām, gan budžeta finansētām institūcijām</w:t>
            </w:r>
          </w:p>
        </w:tc>
        <w:tc>
          <w:tcPr>
            <w:tcW w:w="6178" w:type="dxa"/>
            <w:tcBorders>
              <w:top w:val="outset" w:sz="6" w:space="0" w:color="auto"/>
              <w:left w:val="outset" w:sz="6" w:space="0" w:color="auto"/>
              <w:bottom w:val="outset" w:sz="6" w:space="0" w:color="auto"/>
              <w:right w:val="outset" w:sz="6" w:space="0" w:color="auto"/>
            </w:tcBorders>
          </w:tcPr>
          <w:p w14:paraId="0BA31CB0" w14:textId="70FB1C17" w:rsidR="00E37E18" w:rsidRPr="00E37E18" w:rsidRDefault="00B61639" w:rsidP="00E37E18">
            <w:pPr>
              <w:jc w:val="both"/>
              <w:rPr>
                <w:color w:val="000000"/>
              </w:rPr>
            </w:pPr>
            <w:r w:rsidRPr="00B61639">
              <w:t>4.1. Saistoš</w:t>
            </w:r>
            <w:r>
              <w:t>o</w:t>
            </w:r>
            <w:r w:rsidRPr="00B61639">
              <w:t xml:space="preserve"> noteikum</w:t>
            </w:r>
            <w:r>
              <w:t>u grozījumi</w:t>
            </w:r>
            <w:r w:rsidRPr="00B61639">
              <w:t xml:space="preserve"> neskar citas administratīvās procedūras un nemaina privātpersonām veicamās darbības līdzšinējo kārtību.</w:t>
            </w:r>
          </w:p>
        </w:tc>
      </w:tr>
      <w:tr w:rsidR="00E37E18" w:rsidRPr="00E37E18" w14:paraId="0B8D88BB" w14:textId="77777777" w:rsidTr="00E37E18">
        <w:tc>
          <w:tcPr>
            <w:tcW w:w="2118" w:type="dxa"/>
          </w:tcPr>
          <w:p w14:paraId="3A86D888" w14:textId="77777777" w:rsidR="00E37E18" w:rsidRPr="00E37E18" w:rsidRDefault="00E37E18" w:rsidP="00E37E18">
            <w:pPr>
              <w:jc w:val="center"/>
              <w:rPr>
                <w:color w:val="000000"/>
              </w:rPr>
            </w:pPr>
            <w:r w:rsidRPr="00E37E18">
              <w:rPr>
                <w:color w:val="000000"/>
              </w:rPr>
              <w:t>5. Saistošo noteikumu ietekme uz pašvaldības funkcijām un cilvēkresursiem</w:t>
            </w:r>
          </w:p>
        </w:tc>
        <w:tc>
          <w:tcPr>
            <w:tcW w:w="6178" w:type="dxa"/>
            <w:tcBorders>
              <w:top w:val="outset" w:sz="6" w:space="0" w:color="auto"/>
              <w:left w:val="outset" w:sz="6" w:space="0" w:color="auto"/>
              <w:bottom w:val="outset" w:sz="6" w:space="0" w:color="auto"/>
              <w:right w:val="outset" w:sz="6" w:space="0" w:color="auto"/>
            </w:tcBorders>
          </w:tcPr>
          <w:p w14:paraId="622DA130" w14:textId="5AA44102" w:rsidR="00E37E18" w:rsidRPr="00E37E18" w:rsidRDefault="00EE6BC8" w:rsidP="00E37E18">
            <w:pPr>
              <w:jc w:val="both"/>
              <w:rPr>
                <w:color w:val="000000"/>
              </w:rPr>
            </w:pPr>
            <w:r w:rsidRPr="00EE6BC8">
              <w:t>Saistošo noteikumu īstenošana neietekmēs pašvaldībai pieejamos cilvēkresursus, jo nav nepieciešama jaunu institūciju vai darba vietu izveide.</w:t>
            </w:r>
          </w:p>
        </w:tc>
      </w:tr>
      <w:tr w:rsidR="00E37E18" w:rsidRPr="00E37E18" w14:paraId="7CDA2DE0" w14:textId="77777777" w:rsidTr="00E37E18">
        <w:tc>
          <w:tcPr>
            <w:tcW w:w="2118" w:type="dxa"/>
          </w:tcPr>
          <w:p w14:paraId="4FC31CB0" w14:textId="77777777" w:rsidR="00E37E18" w:rsidRPr="00E37E18" w:rsidRDefault="00E37E18" w:rsidP="00E37E18">
            <w:pPr>
              <w:jc w:val="center"/>
              <w:rPr>
                <w:color w:val="000000"/>
              </w:rPr>
            </w:pPr>
            <w:r w:rsidRPr="00E37E18">
              <w:rPr>
                <w:color w:val="000000"/>
              </w:rPr>
              <w:t>6. Saistošo noteikumu izpildes nodrošināšana</w:t>
            </w:r>
          </w:p>
        </w:tc>
        <w:tc>
          <w:tcPr>
            <w:tcW w:w="6178" w:type="dxa"/>
            <w:tcBorders>
              <w:top w:val="outset" w:sz="6" w:space="0" w:color="auto"/>
              <w:left w:val="outset" w:sz="6" w:space="0" w:color="auto"/>
              <w:bottom w:val="outset" w:sz="6" w:space="0" w:color="auto"/>
              <w:right w:val="outset" w:sz="6" w:space="0" w:color="auto"/>
            </w:tcBorders>
          </w:tcPr>
          <w:p w14:paraId="5CB73E34" w14:textId="07EEBC95" w:rsidR="00E37E18" w:rsidRPr="00E37E18" w:rsidRDefault="00E37E18" w:rsidP="00E37E18">
            <w:pPr>
              <w:jc w:val="both"/>
              <w:rPr>
                <w:color w:val="000000"/>
              </w:rPr>
            </w:pPr>
            <w:r w:rsidRPr="00343897">
              <w:t xml:space="preserve">Saistošo noteikumu izpildi nodrošinās </w:t>
            </w:r>
            <w:r>
              <w:t>Līvānu novada Sociālais dienests.</w:t>
            </w:r>
          </w:p>
        </w:tc>
      </w:tr>
      <w:tr w:rsidR="00E37E18" w:rsidRPr="00E37E18" w14:paraId="28E5C3DE" w14:textId="77777777" w:rsidTr="00E37E18">
        <w:tc>
          <w:tcPr>
            <w:tcW w:w="2118" w:type="dxa"/>
          </w:tcPr>
          <w:p w14:paraId="591ED42C" w14:textId="77777777" w:rsidR="00E37E18" w:rsidRPr="00E37E18" w:rsidRDefault="00E37E18" w:rsidP="00E37E18">
            <w:pPr>
              <w:jc w:val="center"/>
              <w:rPr>
                <w:color w:val="000000"/>
              </w:rPr>
            </w:pPr>
            <w:r w:rsidRPr="00E37E18">
              <w:rPr>
                <w:color w:val="000000"/>
              </w:rPr>
              <w:t>7. Saistošo noteikumu prasību un izmaksu samērīgums pret ieguvumiem, ko sniedz mērķa sasniegšana</w:t>
            </w:r>
          </w:p>
        </w:tc>
        <w:tc>
          <w:tcPr>
            <w:tcW w:w="6178" w:type="dxa"/>
            <w:tcBorders>
              <w:top w:val="outset" w:sz="6" w:space="0" w:color="auto"/>
              <w:left w:val="outset" w:sz="6" w:space="0" w:color="auto"/>
              <w:bottom w:val="outset" w:sz="6" w:space="0" w:color="auto"/>
              <w:right w:val="outset" w:sz="6" w:space="0" w:color="auto"/>
            </w:tcBorders>
          </w:tcPr>
          <w:p w14:paraId="798079E3" w14:textId="2063DC24" w:rsidR="004B5329" w:rsidRDefault="004B5329" w:rsidP="00E37E18">
            <w:pPr>
              <w:jc w:val="both"/>
            </w:pPr>
            <w:r w:rsidRPr="004B5329">
              <w:t>Saistošo noteikumu grozījumu prasības un tā izpilde neradīs papildu izmaksas. Noteikumi paredz tikai noteikumu mērķa sasniegšanai nepieciešamos nosacījumus, pašvaldībā pieejamo resursu ietvaros.</w:t>
            </w:r>
          </w:p>
          <w:p w14:paraId="3E7851C5" w14:textId="4682179D" w:rsidR="00E37E18" w:rsidRPr="00E37E18" w:rsidRDefault="00E37E18" w:rsidP="00E37E18">
            <w:pPr>
              <w:jc w:val="both"/>
              <w:rPr>
                <w:color w:val="000000"/>
              </w:rPr>
            </w:pPr>
          </w:p>
        </w:tc>
      </w:tr>
      <w:tr w:rsidR="00E37E18" w:rsidRPr="00E37E18" w14:paraId="155CC5F4" w14:textId="77777777" w:rsidTr="00E37E18">
        <w:tc>
          <w:tcPr>
            <w:tcW w:w="2118" w:type="dxa"/>
          </w:tcPr>
          <w:p w14:paraId="1197D233" w14:textId="77777777" w:rsidR="00E37E18" w:rsidRPr="00E37E18" w:rsidRDefault="00E37E18" w:rsidP="00E37E18">
            <w:pPr>
              <w:jc w:val="center"/>
              <w:rPr>
                <w:color w:val="000000"/>
              </w:rPr>
            </w:pPr>
            <w:r w:rsidRPr="00E37E18">
              <w:rPr>
                <w:color w:val="000000"/>
              </w:rPr>
              <w:t>8. Saistošo noteikumu izstrādes gaitā veiktās konsultācijas ar privātpersonām, saņemtais sabiedrības viedoklis</w:t>
            </w:r>
          </w:p>
        </w:tc>
        <w:tc>
          <w:tcPr>
            <w:tcW w:w="6178" w:type="dxa"/>
          </w:tcPr>
          <w:p w14:paraId="0867AB00" w14:textId="77777777" w:rsidR="00E37E18" w:rsidRPr="00E37E18" w:rsidRDefault="00E37E18" w:rsidP="00E37E18">
            <w:pPr>
              <w:spacing w:before="195"/>
            </w:pPr>
            <w:r w:rsidRPr="00E37E18">
              <w:rPr>
                <w:color w:val="000000"/>
              </w:rPr>
              <w:t xml:space="preserve">Atbilstoši Pašvaldību likuma 46. panta trešajai daļai sabiedrības viedokļa noskaidrošanai saistošo noteikumu projekts no 2026. gada ___. ___________ līdz 2026. gada ___. ___________ publicēts </w:t>
            </w:r>
            <w:r w:rsidRPr="00E37E18">
              <w:t xml:space="preserve">pašvaldības oficiālajā tīmekļvietnē www.livani.lv sabiedrības viedokļa noskaidrošanai. </w:t>
            </w:r>
          </w:p>
          <w:p w14:paraId="0C17C285" w14:textId="77777777" w:rsidR="00E37E18" w:rsidRPr="00E37E18" w:rsidRDefault="00E37E18" w:rsidP="00E37E18">
            <w:pPr>
              <w:jc w:val="both"/>
              <w:rPr>
                <w:color w:val="000000"/>
              </w:rPr>
            </w:pPr>
          </w:p>
          <w:p w14:paraId="068E1F8B" w14:textId="77777777" w:rsidR="00E37E18" w:rsidRPr="00E37E18" w:rsidRDefault="00E37E18" w:rsidP="00E37E18">
            <w:pPr>
              <w:jc w:val="both"/>
              <w:rPr>
                <w:color w:val="000000"/>
              </w:rPr>
            </w:pPr>
          </w:p>
        </w:tc>
      </w:tr>
    </w:tbl>
    <w:p w14:paraId="28822387" w14:textId="77777777" w:rsidR="00E37E18" w:rsidRDefault="00E37E18"/>
    <w:sectPr w:rsidR="00E37E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18"/>
    <w:rsid w:val="001010A7"/>
    <w:rsid w:val="00145A16"/>
    <w:rsid w:val="001A2885"/>
    <w:rsid w:val="003706D9"/>
    <w:rsid w:val="003B2520"/>
    <w:rsid w:val="00457356"/>
    <w:rsid w:val="00484516"/>
    <w:rsid w:val="004B5329"/>
    <w:rsid w:val="00575958"/>
    <w:rsid w:val="005B3CA3"/>
    <w:rsid w:val="00651F13"/>
    <w:rsid w:val="007C2A38"/>
    <w:rsid w:val="008F2256"/>
    <w:rsid w:val="009627F2"/>
    <w:rsid w:val="00981003"/>
    <w:rsid w:val="009A0BFE"/>
    <w:rsid w:val="00A43556"/>
    <w:rsid w:val="00A72F31"/>
    <w:rsid w:val="00AA3476"/>
    <w:rsid w:val="00B158B2"/>
    <w:rsid w:val="00B61639"/>
    <w:rsid w:val="00BB4246"/>
    <w:rsid w:val="00BE08B8"/>
    <w:rsid w:val="00C31BB1"/>
    <w:rsid w:val="00D35DCC"/>
    <w:rsid w:val="00DD09BB"/>
    <w:rsid w:val="00DF6D70"/>
    <w:rsid w:val="00E37E18"/>
    <w:rsid w:val="00EE6BC8"/>
    <w:rsid w:val="00F013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B100"/>
  <w15:chartTrackingRefBased/>
  <w15:docId w15:val="{60D8BC42-E884-4F32-8E0F-9B55B56B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37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37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37E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37E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37E18"/>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37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37E1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37E1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37E1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37E1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37E1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37E18"/>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37E18"/>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37E18"/>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37E1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37E1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37E1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37E1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37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37E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37E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37E1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37E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37E18"/>
    <w:rPr>
      <w:i/>
      <w:iCs/>
      <w:color w:val="404040" w:themeColor="text1" w:themeTint="BF"/>
    </w:rPr>
  </w:style>
  <w:style w:type="paragraph" w:styleId="Sarakstarindkopa">
    <w:name w:val="List Paragraph"/>
    <w:basedOn w:val="Parasts"/>
    <w:uiPriority w:val="34"/>
    <w:qFormat/>
    <w:rsid w:val="00E37E18"/>
    <w:pPr>
      <w:ind w:left="720"/>
      <w:contextualSpacing/>
    </w:pPr>
  </w:style>
  <w:style w:type="character" w:styleId="Intensvsizclums">
    <w:name w:val="Intense Emphasis"/>
    <w:basedOn w:val="Noklusjumarindkopasfonts"/>
    <w:uiPriority w:val="21"/>
    <w:qFormat/>
    <w:rsid w:val="00E37E18"/>
    <w:rPr>
      <w:i/>
      <w:iCs/>
      <w:color w:val="2F5496" w:themeColor="accent1" w:themeShade="BF"/>
    </w:rPr>
  </w:style>
  <w:style w:type="paragraph" w:styleId="Intensvscitts">
    <w:name w:val="Intense Quote"/>
    <w:basedOn w:val="Parasts"/>
    <w:next w:val="Parasts"/>
    <w:link w:val="IntensvscittsRakstz"/>
    <w:uiPriority w:val="30"/>
    <w:qFormat/>
    <w:rsid w:val="00E3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37E18"/>
    <w:rPr>
      <w:i/>
      <w:iCs/>
      <w:color w:val="2F5496" w:themeColor="accent1" w:themeShade="BF"/>
    </w:rPr>
  </w:style>
  <w:style w:type="character" w:styleId="Intensvaatsauce">
    <w:name w:val="Intense Reference"/>
    <w:basedOn w:val="Noklusjumarindkopasfonts"/>
    <w:uiPriority w:val="32"/>
    <w:qFormat/>
    <w:rsid w:val="00E37E18"/>
    <w:rPr>
      <w:b/>
      <w:bCs w:val="0"/>
      <w:smallCaps/>
      <w:color w:val="2F5496" w:themeColor="accent1" w:themeShade="BF"/>
      <w:spacing w:val="5"/>
    </w:rPr>
  </w:style>
  <w:style w:type="table" w:styleId="Reatabula">
    <w:name w:val="Table Grid"/>
    <w:basedOn w:val="Parastatabula"/>
    <w:uiPriority w:val="39"/>
    <w:rsid w:val="00E37E18"/>
    <w:pPr>
      <w:spacing w:after="0" w:line="240" w:lineRule="auto"/>
    </w:pPr>
    <w:rPr>
      <w:rFonts w:eastAsia="Times New Roman"/>
      <w:bCs w:val="0"/>
      <w:kern w:val="0"/>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3768</Words>
  <Characters>2149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119</cp:revision>
  <dcterms:created xsi:type="dcterms:W3CDTF">2026-02-04T12:22:00Z</dcterms:created>
  <dcterms:modified xsi:type="dcterms:W3CDTF">2026-02-04T13:19:00Z</dcterms:modified>
</cp:coreProperties>
</file>