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433E" w14:textId="77777777" w:rsidR="00E12A4A" w:rsidRDefault="00E12A4A" w:rsidP="00E12A4A">
      <w:pPr>
        <w:jc w:val="center"/>
        <w:rPr>
          <w:rFonts w:ascii="Times New Roman" w:hAnsi="Times New Roman"/>
        </w:rPr>
      </w:pPr>
      <w:r>
        <w:rPr>
          <w:rFonts w:ascii="Calibri" w:hAnsi="Calibri"/>
          <w:noProof/>
          <w:lang w:eastAsia="lv-LV"/>
        </w:rPr>
        <w:drawing>
          <wp:inline distT="0" distB="0" distL="0" distR="0" wp14:anchorId="1262A6C2" wp14:editId="6DA41320">
            <wp:extent cx="476250" cy="704850"/>
            <wp:effectExtent l="0" t="0" r="0" b="0"/>
            <wp:docPr id="8904705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p w14:paraId="63119210" w14:textId="77777777" w:rsidR="00E12A4A" w:rsidRDefault="00E12A4A" w:rsidP="00E12A4A">
      <w:pPr>
        <w:jc w:val="center"/>
        <w:rPr>
          <w:rFonts w:ascii="Times New Roman" w:hAnsi="Times New Roman"/>
          <w:b/>
          <w:spacing w:val="-20"/>
          <w:sz w:val="28"/>
          <w:szCs w:val="28"/>
        </w:rPr>
      </w:pPr>
      <w:r>
        <w:rPr>
          <w:noProof/>
        </w:rPr>
        <mc:AlternateContent>
          <mc:Choice Requires="wps">
            <w:drawing>
              <wp:anchor distT="4294967293" distB="4294967293" distL="114300" distR="114300" simplePos="0" relativeHeight="251659264" behindDoc="0" locked="0" layoutInCell="1" allowOverlap="1" wp14:anchorId="4A7EAABC" wp14:editId="7868CEBA">
                <wp:simplePos x="0" y="0"/>
                <wp:positionH relativeFrom="column">
                  <wp:posOffset>-838835</wp:posOffset>
                </wp:positionH>
                <wp:positionV relativeFrom="paragraph">
                  <wp:posOffset>199390</wp:posOffset>
                </wp:positionV>
                <wp:extent cx="6858000" cy="0"/>
                <wp:effectExtent l="0" t="0" r="0" b="0"/>
                <wp:wrapNone/>
                <wp:docPr id="15"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62C166" id="_x0000_t32" coordsize="21600,21600" o:spt="32" o:oned="t" path="m,l21600,21600e" filled="f">
                <v:path arrowok="t" fillok="f" o:connecttype="none"/>
                <o:lock v:ext="edit" shapetype="t"/>
              </v:shapetype>
              <v:shape id="Taisns bultveida savienotājs 2" o:spid="_x0000_s1026" type="#_x0000_t32" style="position:absolute;margin-left:-66.05pt;margin-top:15.7pt;width:54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" strokecolor="#548dd4"/>
            </w:pict>
          </mc:Fallback>
        </mc:AlternateContent>
      </w:r>
      <w:r>
        <w:rPr>
          <w:rFonts w:ascii="Times New Roman" w:hAnsi="Times New Roman"/>
          <w:b/>
          <w:spacing w:val="-20"/>
          <w:sz w:val="28"/>
          <w:szCs w:val="28"/>
        </w:rPr>
        <w:t>LĪVĀNU NOVADA BĀRIŅTIESA</w:t>
      </w:r>
    </w:p>
    <w:p w14:paraId="341D6946" w14:textId="012C5E84" w:rsidR="00E12A4A" w:rsidRDefault="00E12A4A" w:rsidP="00E12A4A">
      <w:pPr>
        <w:jc w:val="center"/>
        <w:rPr>
          <w:rFonts w:ascii="Times New Roman" w:hAnsi="Times New Roman"/>
        </w:rPr>
      </w:pPr>
      <w:r>
        <w:rPr>
          <w:rFonts w:ascii="Times New Roman" w:hAnsi="Times New Roman"/>
        </w:rPr>
        <w:t xml:space="preserve">Reģistrācijas Nr. 40900005289, </w:t>
      </w:r>
      <w:r>
        <w:rPr>
          <w:rFonts w:ascii="Times New Roman" w:hAnsi="Times New Roman"/>
        </w:rPr>
        <w:t>Domes</w:t>
      </w:r>
      <w:r>
        <w:rPr>
          <w:rFonts w:ascii="Times New Roman" w:hAnsi="Times New Roman"/>
        </w:rPr>
        <w:t xml:space="preserve"> iela </w:t>
      </w:r>
      <w:r>
        <w:rPr>
          <w:rFonts w:ascii="Times New Roman" w:hAnsi="Times New Roman"/>
        </w:rPr>
        <w:t>3</w:t>
      </w:r>
      <w:r>
        <w:rPr>
          <w:rFonts w:ascii="Times New Roman" w:hAnsi="Times New Roman"/>
        </w:rPr>
        <w:t>, Līvāni, Līvānu novads, LV – 5316,</w:t>
      </w:r>
    </w:p>
    <w:p w14:paraId="675C66C3" w14:textId="77777777" w:rsidR="00E12A4A" w:rsidRDefault="00E12A4A" w:rsidP="00E12A4A">
      <w:pPr>
        <w:jc w:val="center"/>
        <w:rPr>
          <w:rFonts w:ascii="Times New Roman" w:hAnsi="Times New Roman"/>
        </w:rPr>
      </w:pPr>
      <w:r>
        <w:rPr>
          <w:rFonts w:ascii="Times New Roman" w:hAnsi="Times New Roman"/>
        </w:rPr>
        <w:t xml:space="preserve">tālr. 65307271, mob.20220877, e-pasts: </w:t>
      </w:r>
      <w:hyperlink r:id="rId5" w:history="1">
        <w:r>
          <w:rPr>
            <w:rStyle w:val="Hipersaite"/>
            <w:rFonts w:ascii="Times New Roman" w:hAnsi="Times New Roman"/>
            <w:color w:val="0563C1"/>
          </w:rPr>
          <w:t>barintiesa@livani.lv</w:t>
        </w:r>
      </w:hyperlink>
    </w:p>
    <w:p w14:paraId="5EDF39DA" w14:textId="77777777" w:rsidR="00E12A4A" w:rsidRDefault="00E12A4A" w:rsidP="00E12A4A">
      <w:pPr>
        <w:jc w:val="center"/>
        <w:rPr>
          <w:rFonts w:ascii="Calibri" w:hAnsi="Calibri"/>
          <w:sz w:val="16"/>
          <w:szCs w:val="16"/>
        </w:rPr>
      </w:pPr>
    </w:p>
    <w:p w14:paraId="34BB596E" w14:textId="77777777" w:rsidR="00E12A4A" w:rsidRDefault="00E12A4A" w:rsidP="00E12A4A">
      <w:pPr>
        <w:jc w:val="center"/>
        <w:rPr>
          <w:rFonts w:ascii="Times New Roman" w:hAnsi="Times New Roman"/>
        </w:rPr>
      </w:pPr>
      <w:r>
        <w:rPr>
          <w:rFonts w:ascii="Times New Roman" w:hAnsi="Times New Roman"/>
        </w:rPr>
        <w:t>LĪVĀNOS</w:t>
      </w:r>
    </w:p>
    <w:p w14:paraId="4A42D0E4" w14:textId="77777777" w:rsidR="00691379" w:rsidRDefault="00691379" w:rsidP="006626F9">
      <w:pPr>
        <w:ind w:firstLine="720"/>
        <w:jc w:val="both"/>
      </w:pPr>
    </w:p>
    <w:p w14:paraId="3BF17573" w14:textId="7894D0E9" w:rsidR="00415BC5" w:rsidRPr="002C7396" w:rsidRDefault="00691379" w:rsidP="006626F9">
      <w:pPr>
        <w:ind w:left="720" w:firstLine="720"/>
        <w:jc w:val="both"/>
        <w:rPr>
          <w:b/>
          <w:bCs/>
        </w:rPr>
      </w:pPr>
      <w:r w:rsidRPr="002C7396">
        <w:rPr>
          <w:b/>
          <w:bCs/>
        </w:rPr>
        <w:t xml:space="preserve">Pārskats par </w:t>
      </w:r>
      <w:r w:rsidR="002C7396" w:rsidRPr="002C7396">
        <w:rPr>
          <w:b/>
          <w:bCs/>
        </w:rPr>
        <w:t>Lī</w:t>
      </w:r>
      <w:r w:rsidRPr="002C7396">
        <w:rPr>
          <w:b/>
          <w:bCs/>
        </w:rPr>
        <w:t>vānu novada bāriņtiesas darbu 2024.gadā</w:t>
      </w:r>
    </w:p>
    <w:p w14:paraId="734A41D7" w14:textId="5475880E" w:rsidR="000D31D7" w:rsidRDefault="000D31D7" w:rsidP="006626F9">
      <w:pPr>
        <w:ind w:firstLine="720"/>
        <w:jc w:val="both"/>
      </w:pPr>
      <w:r w:rsidRPr="000D31D7">
        <w:t>Saskaņā ar Bāriņtiesu likuma 5. panta ceturto daļu bāriņtiesa ne retāk kā reizi gadā sniedz attiecīgās pašvaldības domei pārskatu par savu darbību. Pārskata ziņojums ir publicējams pašvaldības mājaslapā. Bāriņtiesa, īstenojot normatīvajos aktos noteiktos bērna un aizgādnībā esošās personas personisko interešu aizsardzības pasākumus, pieņem lēmumus bērna vai aizgādnībā esošās personas interesēs, pieprasa vajadzīgo informāciju aizbildnības, aizgādnības, adopcijas vai ar aizgādību saistīto jautājumu izlemšanai, veic pienākumus aizbildnības un aizgādnības uzraudzībā, iesniedz tiesā prasības pieteikumus bērna vai aizgādnībā esošās personas interesēs, kā arī sadarbojas ar citām valsts un pašvaldības institūcijām, lai veiktu savus uzdevumus. L</w:t>
      </w:r>
      <w:r>
        <w:t xml:space="preserve">īvānu novada </w:t>
      </w:r>
      <w:r w:rsidRPr="000D31D7">
        <w:t>bāriņtiesa (turpmāk – bāriņtiesa) ir L</w:t>
      </w:r>
      <w:r>
        <w:t>īvānu</w:t>
      </w:r>
      <w:r w:rsidRPr="000D31D7">
        <w:t xml:space="preserve"> pašvaldības izveidota aizbildnības un aizgādnības iestāde, kas L</w:t>
      </w:r>
      <w:r>
        <w:t>īvānu novada</w:t>
      </w:r>
      <w:r w:rsidRPr="000D31D7">
        <w:t xml:space="preserve"> administratīvajā teritorijā nodrošina bērna vai aizgādnībā esošās personas tiesību un tiesisko interešu aizsardzību.</w:t>
      </w:r>
    </w:p>
    <w:p w14:paraId="4F2B0642" w14:textId="0B5DBC90" w:rsidR="001E4EA3" w:rsidRDefault="000D31D7" w:rsidP="006626F9">
      <w:pPr>
        <w:ind w:firstLine="720"/>
        <w:jc w:val="both"/>
      </w:pPr>
      <w:r w:rsidRPr="000D31D7">
        <w:t xml:space="preserve"> Šobrīd bāriņtiesā strādā </w:t>
      </w:r>
      <w:r>
        <w:t>5</w:t>
      </w:r>
      <w:r w:rsidRPr="000D31D7">
        <w:t xml:space="preserve">darbinieki: bāriņtiesas priekšsēdētājs, </w:t>
      </w:r>
      <w:r>
        <w:t>trīs</w:t>
      </w:r>
      <w:r w:rsidRPr="000D31D7">
        <w:t xml:space="preserve"> bāriņtiesas lo</w:t>
      </w:r>
      <w:r>
        <w:t xml:space="preserve">cekļi un </w:t>
      </w:r>
      <w:r w:rsidRPr="000D31D7">
        <w:t>sekretāre</w:t>
      </w:r>
      <w:r w:rsidR="009176F2">
        <w:t xml:space="preserve">, ir vakanta priekšsēdētāja vietnieka </w:t>
      </w:r>
      <w:r w:rsidR="00547130">
        <w:t>vieta</w:t>
      </w:r>
      <w:r w:rsidRPr="000D31D7">
        <w:t xml:space="preserve">. Bāriņtiesas amatpersonām ar amata aprakstiem noteikta amata specializācija. Bāriņtiesa lietas izskata bāriņtiesas sēdēs un lēmumus pieņem koleģiāli, izņemot gadījumus, kad, konstatējot apdraudējumu bērnam, bērns atrodas veselībai vai dzīvībai bīstamos apstākļos, bāriņtiesas priekšsēdētājs, bāriņtiesas priekšsēdētāja vietnieks vai bāriņtiesas loceklis pieņem vienpersonisku lēmumu par aizgādības tiesību pārtraukšanu vecākam, aizbildņa vai audžuģimenes atstādināšanu no pienākumu pildīšanas un bērna nogādāšanu drošos apstākļos. </w:t>
      </w:r>
    </w:p>
    <w:p w14:paraId="23A3ECE2" w14:textId="77777777" w:rsidR="000D31D7" w:rsidRPr="000D31D7" w:rsidRDefault="000D31D7" w:rsidP="006626F9">
      <w:pPr>
        <w:ind w:firstLine="720"/>
        <w:jc w:val="both"/>
        <w:rPr>
          <w:b/>
          <w:bCs/>
        </w:rPr>
      </w:pPr>
      <w:r w:rsidRPr="000D31D7">
        <w:rPr>
          <w:b/>
          <w:bCs/>
        </w:rPr>
        <w:t xml:space="preserve">Par bērna aizgādības tiesību pārtraukšanu, atjaunošanu, atņemšanu </w:t>
      </w:r>
    </w:p>
    <w:p w14:paraId="4F4999E1" w14:textId="31AFBA9D" w:rsidR="000D31D7" w:rsidRDefault="000D31D7" w:rsidP="006626F9">
      <w:pPr>
        <w:ind w:firstLine="720"/>
        <w:jc w:val="both"/>
      </w:pPr>
      <w:r w:rsidRPr="000D31D7">
        <w:t xml:space="preserve">Aizgādība ir vienlīdzīgas abu vecāku tiesības un pienākumi rūpēties par bērnu un viņa mantu un pārstāvēt bērnu viņa personiskajās un mantiskajās attiecībās. Ja vecāki ar šiem pienākumiem netiek galā, situācijas risināšanā iesaistās dažādas institūcijas un speciālisti, lai sniegtu atbalstu un palīdzību ģimenei attiecīgu problēmu risināšanā, lai novērstu iespējamos bērnu tiesību pārkāpumus un bērni nebūtu jāšķir no ģimenes. Taču gadījumos, kad vecāku rīcībā un attieksmē pret bērnu konstatē augstus riskus un turpmāka bērna atrašanās vecāku aizgādībā var apdraudēt bērna veselību vai dzīvību, šo jautājumu risināšanā iesaistās bāriņtiesa un tiesa, kas lemj par aizgādības tiesībām. Lai mazinātu gadījumus, kuros bāriņtiesai jāpieņem lēmums par aizgādības tiesību pārtraukšanu vecākam, būtiski nodrošināt preventīvo sociālo darbu ar ģimeni. Šī preventīvā darba mērķis ir sniegt atbalstu un ļaut vecākam novērst tos </w:t>
      </w:r>
      <w:r w:rsidRPr="000D31D7">
        <w:lastRenderedPageBreak/>
        <w:t>apstākļus, kas nelabvēlīgi ietekmē bērnu. Tikai galējā situācijā, ja vecāks nesadarbojas un nenovērš bērnam kaitējošos apstākļus, bāriņtiesa pieņem lēmumu par bērna aizgādības tiesību pārtraukšanu vecākam. Pārskata gadā bāriņtiesa informējusi L</w:t>
      </w:r>
      <w:r>
        <w:t>īvānu novada</w:t>
      </w:r>
      <w:r w:rsidRPr="000D31D7">
        <w:t xml:space="preserve"> Sociālo dienestu (turpmāk – Sociālais dienests) par </w:t>
      </w:r>
      <w:r>
        <w:t>28</w:t>
      </w:r>
      <w:r w:rsidRPr="000D31D7">
        <w:t xml:space="preserve"> ģimenēm, kurās aug </w:t>
      </w:r>
      <w:r>
        <w:t xml:space="preserve">43 </w:t>
      </w:r>
      <w:r w:rsidRPr="000D31D7">
        <w:t xml:space="preserve">bērni, norādot, ka šajās ģimenēs netiek pietiekami nodrošināta bērna attīstība un augšana, tādēļ nepieciešams sociālā darbinieka atbalsts un palīdzība. </w:t>
      </w:r>
    </w:p>
    <w:p w14:paraId="398C3E03" w14:textId="7C5ED951" w:rsidR="000508AB" w:rsidRDefault="000D31D7" w:rsidP="006626F9">
      <w:pPr>
        <w:ind w:firstLine="720"/>
        <w:jc w:val="both"/>
      </w:pPr>
      <w:r w:rsidRPr="000D31D7">
        <w:t>Bērna aizgādības tiesību pārtraukšanas tiesiskie pamati noteikti Civillikuma 203. pantā un Bāriņtiesu likuma 22. pantā. Konstatējot šajās tiesību normās uzskaitītos apstākļus, bāriņtiesa lemj par aizgādības tiesību pārtraukšanu vecākam. Nereti lietas izskatīšanas laikā ģimenei, sadarbojoties ar Sociālo dienestu, citām institūcijām un speciālistiem, veiksmīgi izdodas būtiski samazināt sociālās problēmas, kā arī novērst konstatētos riskus un nelabvēlīgos apstākļus. Tā rezultātā, bāriņtiesai lemjot par iespējamo bērna aizgādības tiesību pārtraukšanu, lietvedība izbeigta par 10 bērnu aizgādības tiesību pārtraukšanu sešiem vecākiem. 202</w:t>
      </w:r>
      <w:r>
        <w:t>4</w:t>
      </w:r>
      <w:r w:rsidRPr="000D31D7">
        <w:t xml:space="preserve">. gadā bāriņtiesa pārtraukusi </w:t>
      </w:r>
      <w:r w:rsidR="000508AB">
        <w:t>21</w:t>
      </w:r>
      <w:r w:rsidRPr="000D31D7">
        <w:t xml:space="preserve"> bērn</w:t>
      </w:r>
      <w:r w:rsidR="006B1292">
        <w:t>a</w:t>
      </w:r>
      <w:r w:rsidRPr="000D31D7">
        <w:t xml:space="preserve"> aizgādības tiesības </w:t>
      </w:r>
      <w:r w:rsidR="000508AB">
        <w:t>17</w:t>
      </w:r>
      <w:r w:rsidRPr="000D31D7">
        <w:t xml:space="preserve"> vecākiem </w:t>
      </w:r>
      <w:r w:rsidR="000508AB">
        <w:t>.</w:t>
      </w:r>
      <w:r w:rsidRPr="000D31D7">
        <w:t xml:space="preserve"> Analizējot iemeslus, kuru dēļ bāriņtiesa visbiežāk lēmusi par aizgādības tiesību pārtraukšanu vecākam, secināms, ka pārsvarā lēmumi pamatoti ar vecāka atkarības problēmām, zināšanu un prasmju trūkumu bērnu vajadzību un interešu nodrošināšanā, kā rezultātā vecāks nenodrošināja pilnvērtīgu bērna aprūpi. Pārskata gada ietvaros ar bāriņtiesas lēmumu </w:t>
      </w:r>
      <w:r w:rsidR="000508AB">
        <w:t>2</w:t>
      </w:r>
      <w:r w:rsidRPr="000D31D7">
        <w:t xml:space="preserve"> vecākiem pārtrauktas bērna aizgādības tiesības, pastāvot pamatotām aizdomām par vardarbību pret bērnu. Pēc tam, kad pieņemts lēmums par aizgādības tiesību pārtraukšanu, bāriņtiesa sniedz informāciju Sociālajam dienestam sociālā darba veikšanai ar ģimeni, kura mērķis ir panākt situācijas uzlabošanos un bērna atgriešanos ģimenē. Ja bērna aizgādības tiesību pārtraukšanas iemesli ir zuduši, bāriņtiesa lemj par pārtraukto bērna aizgādības tiesību atjaunošanu. Līdz ar to, sagatavojot lietu par iespējamu pārtraukto bērna aizgādības tiesību atjaunošanu vecākam, bāriņtiesai primāri jāpārliecinās, vai ir mainījušies tie apstākļi, kas pastāvēja laikā, kad vecākam tika pārtrauktas aizgādības tiesības. Tāpat jāpārliecinās, vai nepastāv arī citi pārtraukto aizgādības tiesību atjaunošanas riski. Tātad, bāriņtiesa vērtē gan iespējamo risku bērna drošībai, attīstībai un veselībai, kā arī apstākli, vai bērnam, atgriežoties ģimenē, tiks nodrošināta pilnvērtīga aprūpe, atbilstoša audzināšana un labvēlīga dzīves vide. 202</w:t>
      </w:r>
      <w:r w:rsidR="000508AB">
        <w:t>4</w:t>
      </w:r>
      <w:r w:rsidRPr="000D31D7">
        <w:t>. gadā pārtrauktās aizgādības tiesības atjaunotas 5 personām, kā rezultātā 1</w:t>
      </w:r>
      <w:r w:rsidR="000508AB">
        <w:t xml:space="preserve">1 </w:t>
      </w:r>
      <w:r w:rsidRPr="000D31D7">
        <w:t xml:space="preserve">bērni atgriezās vecāku aizgādībā. </w:t>
      </w:r>
    </w:p>
    <w:p w14:paraId="173D2B9B" w14:textId="183F9167" w:rsidR="000D31D7" w:rsidRDefault="000D31D7" w:rsidP="006626F9">
      <w:pPr>
        <w:ind w:firstLine="720"/>
        <w:jc w:val="both"/>
      </w:pPr>
      <w:r w:rsidRPr="000D31D7">
        <w:t xml:space="preserve">Civillikuma 203. 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Pārskata gadā bāriņtiesa par </w:t>
      </w:r>
      <w:r w:rsidR="000508AB">
        <w:t>8</w:t>
      </w:r>
      <w:r w:rsidRPr="000D31D7">
        <w:t xml:space="preserve"> vecākiem</w:t>
      </w:r>
      <w:r w:rsidR="000508AB">
        <w:t xml:space="preserve"> </w:t>
      </w:r>
      <w:r w:rsidRPr="000D31D7">
        <w:t>pieņēmusi lēmumu un cēlusi prasību tiesā par bērnu aizgādības tiesību atņemšanu. Aizgādības tiesību atņemšanu vecākam kā galējo līdzekli piemēro tiesa. 202</w:t>
      </w:r>
      <w:r w:rsidR="00A56A41">
        <w:t>4</w:t>
      </w:r>
      <w:r w:rsidRPr="000D31D7">
        <w:t xml:space="preserve">. gadā likumīgā spēkā stājušies tiesu spriedumi, ar kuriem </w:t>
      </w:r>
      <w:r w:rsidR="00660B01">
        <w:t>8</w:t>
      </w:r>
      <w:r w:rsidRPr="000D31D7">
        <w:t xml:space="preserve"> vecākiem atņemtas </w:t>
      </w:r>
      <w:r w:rsidR="00660B01">
        <w:t>16</w:t>
      </w:r>
      <w:r w:rsidRPr="000D31D7">
        <w:t xml:space="preserve"> bērnu aizgādības tiesības</w:t>
      </w:r>
      <w:r w:rsidR="00181E05">
        <w:t>.</w:t>
      </w:r>
    </w:p>
    <w:p w14:paraId="161B87B4" w14:textId="77777777" w:rsidR="004B56B6" w:rsidRPr="009E608A" w:rsidRDefault="004B56B6" w:rsidP="006626F9">
      <w:pPr>
        <w:ind w:firstLine="720"/>
        <w:jc w:val="both"/>
        <w:rPr>
          <w:b/>
          <w:bCs/>
        </w:rPr>
      </w:pPr>
      <w:r w:rsidRPr="009E608A">
        <w:rPr>
          <w:b/>
          <w:bCs/>
        </w:rPr>
        <w:t xml:space="preserve">Par bērnu </w:t>
      </w:r>
      <w:proofErr w:type="spellStart"/>
      <w:r w:rsidRPr="009E608A">
        <w:rPr>
          <w:b/>
          <w:bCs/>
        </w:rPr>
        <w:t>ārpusģimenes</w:t>
      </w:r>
      <w:proofErr w:type="spellEnd"/>
      <w:r w:rsidRPr="009E608A">
        <w:rPr>
          <w:b/>
          <w:bCs/>
        </w:rPr>
        <w:t xml:space="preserve"> aprūpi </w:t>
      </w:r>
    </w:p>
    <w:p w14:paraId="37AB16C3" w14:textId="49B4358A" w:rsidR="004B56B6" w:rsidRDefault="004B56B6" w:rsidP="006626F9">
      <w:pPr>
        <w:ind w:firstLine="720"/>
        <w:jc w:val="both"/>
      </w:pPr>
      <w:proofErr w:type="spellStart"/>
      <w:r w:rsidRPr="004B56B6">
        <w:t>Ārpusģimenes</w:t>
      </w:r>
      <w:proofErr w:type="spellEnd"/>
      <w:r w:rsidRPr="004B56B6">
        <w:t xml:space="preserve"> aprūpes mērķis saskaņā ar Bērnu tiesību aizsardzības likuma 32. pantā noteikto ir radīt bērnam aizsargātības sajūtu, nodrošināt apstākļus viņa attīstībai un labklājībai. Lemjot par </w:t>
      </w:r>
      <w:proofErr w:type="spellStart"/>
      <w:r w:rsidRPr="004B56B6">
        <w:t>ārpusģimenes</w:t>
      </w:r>
      <w:proofErr w:type="spellEnd"/>
      <w:r w:rsidRPr="004B56B6">
        <w:t xml:space="preserve"> aprūpi bērnam, bāriņtiesai nepieciešams izskaidrot bērnam iespējamos </w:t>
      </w:r>
      <w:proofErr w:type="spellStart"/>
      <w:r w:rsidRPr="004B56B6">
        <w:t>ārpusģimenes</w:t>
      </w:r>
      <w:proofErr w:type="spellEnd"/>
      <w:r w:rsidRPr="004B56B6">
        <w:t xml:space="preserve"> aprūpes veidus un noskaidrot bērna viedokli par viņam piemērotāko </w:t>
      </w:r>
      <w:proofErr w:type="spellStart"/>
      <w:r w:rsidRPr="004B56B6">
        <w:t>ārpusģimenes</w:t>
      </w:r>
      <w:proofErr w:type="spellEnd"/>
      <w:r w:rsidRPr="004B56B6">
        <w:t xml:space="preserve"> aprūpes veidu, ja bērns spēj formulēt savu viedokli. Normatīvie akti paredz primāri nodrošināt bērnam iespēju augt pie aizbildņa vai audžuģimenē. Tikai tad, ja nav iespējams nodrošināt </w:t>
      </w:r>
      <w:proofErr w:type="spellStart"/>
      <w:r w:rsidRPr="004B56B6">
        <w:t>ārpusģimenes</w:t>
      </w:r>
      <w:proofErr w:type="spellEnd"/>
      <w:r w:rsidRPr="004B56B6">
        <w:t xml:space="preserve"> aprūpi pie aizbildņa vai audžuģimenē, bāriņtiesa lemj par </w:t>
      </w:r>
      <w:r w:rsidRPr="004B56B6">
        <w:lastRenderedPageBreak/>
        <w:t xml:space="preserve">bāreņa vai bez vecāku gādības palikuša bērna ievietošanu institūcijā. 2024. gada 31. decembrī </w:t>
      </w:r>
      <w:proofErr w:type="spellStart"/>
      <w:r w:rsidRPr="004B56B6">
        <w:t>ārpusģimenes</w:t>
      </w:r>
      <w:proofErr w:type="spellEnd"/>
      <w:r w:rsidRPr="004B56B6">
        <w:t xml:space="preserve"> aprūpē atradās 2</w:t>
      </w:r>
      <w:r w:rsidR="0026728C">
        <w:t>2</w:t>
      </w:r>
      <w:r w:rsidRPr="004B56B6">
        <w:t xml:space="preserve"> bērni, no tiem </w:t>
      </w:r>
      <w:r w:rsidR="00321181">
        <w:t xml:space="preserve">15 </w:t>
      </w:r>
      <w:r w:rsidRPr="004B56B6">
        <w:t xml:space="preserve">aizbildnībā, </w:t>
      </w:r>
      <w:r w:rsidR="00181864">
        <w:t xml:space="preserve">7 </w:t>
      </w:r>
      <w:r w:rsidRPr="004B56B6">
        <w:t xml:space="preserve">audžuģimenē un </w:t>
      </w:r>
      <w:r w:rsidR="00181864">
        <w:t>neviens bērns nav ievietots</w:t>
      </w:r>
      <w:r w:rsidRPr="004B56B6">
        <w:t xml:space="preserve"> institucionālā aprūpē</w:t>
      </w:r>
      <w:r w:rsidR="007B3D76">
        <w:t>.</w:t>
      </w:r>
    </w:p>
    <w:p w14:paraId="02B36D27" w14:textId="0193C842" w:rsidR="00237414" w:rsidRPr="00237414" w:rsidRDefault="00237414" w:rsidP="006626F9">
      <w:pPr>
        <w:ind w:firstLine="720"/>
        <w:jc w:val="both"/>
        <w:rPr>
          <w:b/>
          <w:bCs/>
        </w:rPr>
      </w:pPr>
      <w:r w:rsidRPr="00237414">
        <w:rPr>
          <w:b/>
          <w:bCs/>
        </w:rPr>
        <w:t>Par aizbildnības lietām</w:t>
      </w:r>
    </w:p>
    <w:p w14:paraId="472BBFB8" w14:textId="4DB6B47E" w:rsidR="00876E81" w:rsidRDefault="00237414" w:rsidP="006626F9">
      <w:pPr>
        <w:ind w:firstLine="720"/>
        <w:jc w:val="both"/>
      </w:pPr>
      <w:r w:rsidRPr="00237414">
        <w:t>Saskaņā ar Civillikuma 217. panta pirmo daļu un 222. pantu aizbildnību nodibina pār bez vecāku aizgādības palikušajiem nepilngadīgajiem. Aizbildnis aizvieto savam aizbilstamajam vecākus, atbalsta bērnu, sevišķi gādā par viņa audzināšanu pārstāv bērna personiskās un mantiskās intereses. Bāriņtiesa lemj par aizbildnības nodibināšanu un aizbildņa iecelšanu bērnam, ja: 1) bērna vecāki ir miruši vai izsludināti par mirušiem; 2) bērna vecākiem ir pārtrauktas vai atņemtas aizgādības tiesības; 3) bērna vecāki ir pazuduši un izsludināti meklēšanā; 4) bērna vecāki slimības dēļ nespēj pienācīgi aprūpēt un uzraudzīt bērnu; 5) radušās būtiskas domstarpības bērna un vecāku attiecībās; 6) abi bērna vecāki ir nepilngadīgi; 7) radušies citi neatliekami gadījumi (nodrošinot normatīvajos aktos noteikto prasību ievērošanu). Lemjot par aizbildņa iecelšanu, bāriņtiesai ir jāpārliecinās, vai p</w:t>
      </w:r>
      <w:r w:rsidR="00722623">
        <w:t>ar</w:t>
      </w:r>
      <w:r w:rsidRPr="00237414">
        <w:t xml:space="preserve"> aizbildni ieceļamajai personai ir aizbildņa pienākumu pildīšanai nepieciešamās spējas un īpašības. Bāriņtiesa izvērtē personas motivāciju kļūt par aizbildni, ģimenes locekļu savstarpējās attiecības, nodarbinātību, dzīves apstākļus, spējas pārstāvēt bērnu personiskajās un mantiskajās attiecībās, kā arī ņem vērā atzinumus par personas veselības stāvokli, ko sniedz ģimenes ārsts, kā arī psihiatrs un narkologs. Pārskata perioda beigās, tas ir, 2024. gada 31. decembrī, kopējais aizbildnībā esošo bērnu skaits ir </w:t>
      </w:r>
      <w:r w:rsidR="002A7343">
        <w:t>3</w:t>
      </w:r>
      <w:r w:rsidR="00495D85">
        <w:t>8</w:t>
      </w:r>
      <w:r w:rsidRPr="00237414">
        <w:t xml:space="preserve">, no tiem </w:t>
      </w:r>
      <w:r w:rsidR="002A7343">
        <w:t>29</w:t>
      </w:r>
      <w:r w:rsidRPr="00237414">
        <w:t xml:space="preserve"> bērni, kuriem ar bāriņtiesas lēmumu nodibināta aizbildnība un iecelts aizbildnis, savukārt </w:t>
      </w:r>
      <w:r w:rsidR="0047760C">
        <w:t>9</w:t>
      </w:r>
      <w:r w:rsidRPr="00237414">
        <w:t xml:space="preserve"> bērnu aizbildnības lietas ir bāriņtiesas pārraudzībā, kur lēmumu pieņēmusi citas pašvaldības bāriņtiesa</w:t>
      </w:r>
      <w:r w:rsidR="00DD22F9">
        <w:t xml:space="preserve"> vai </w:t>
      </w:r>
      <w:r w:rsidRPr="00237414">
        <w:t>bērnu aizbildnības lietas, kur lēmumu pieņēmusi citas valsts kompetentā iestāde, bet bērni dzīvo pie aizbildņa L</w:t>
      </w:r>
      <w:r w:rsidR="0047760C">
        <w:t>īvānu novadā</w:t>
      </w:r>
      <w:r w:rsidRPr="00237414">
        <w:t>. Joprojām, tāpat kā iepriekšējos gados, lielu īpatsvaru no ieceltajiem aizbildņiem veido vecvecāki</w:t>
      </w:r>
      <w:r w:rsidR="00547D16">
        <w:t>.</w:t>
      </w:r>
    </w:p>
    <w:p w14:paraId="33F4092B" w14:textId="5B758993" w:rsidR="00E411B4" w:rsidRPr="00E411B4" w:rsidRDefault="00237414" w:rsidP="006626F9">
      <w:pPr>
        <w:ind w:firstLine="720"/>
        <w:jc w:val="both"/>
        <w:rPr>
          <w:b/>
          <w:bCs/>
        </w:rPr>
      </w:pPr>
      <w:r w:rsidRPr="00E411B4">
        <w:rPr>
          <w:b/>
          <w:bCs/>
        </w:rPr>
        <w:t xml:space="preserve">Par audžuģimeņu lietām </w:t>
      </w:r>
    </w:p>
    <w:p w14:paraId="1B43DE6E" w14:textId="77777777" w:rsidR="0090479D" w:rsidRDefault="00237414" w:rsidP="006626F9">
      <w:pPr>
        <w:ind w:firstLine="720"/>
        <w:jc w:val="both"/>
      </w:pPr>
      <w:r w:rsidRPr="00237414">
        <w:t>Audžuģimene ir ģimene vai persona, kas nodrošina aprūpi bērnam, kuram uz laiku vai pastāvīgi atņemta viņa ģimeniskā vide vai kura interesēs nav pieļaujama palikšana savā ģimenē. Audžuģimenes pienākums ir nodrošināt bērnam viņa vecumam un veselības stāvoklim atbilstošus sadzīves apstākļus un aprūpi (veselības aprūpi, audzināšanu un izglītību). Bērnu audžuģimenē ievieto uz laiku, kamēr bērns var atgriezties savā ģimenē vai, ja tas nav iespējams, līdz bērna adopcijai vai aizbildnības nodibināšanai. Saskaņā ar Bāriņtiesu likuma 25. pantā noteikto bāriņtiesa lemj par: 1) ģimenes vai personas piemērotību audžuģimenes pienākumu veikšanai; 2) audžuģimenes statusa piešķiršanu; 3) bērna ievietošanu audžuģimenē vai uzturēšanās izbeigšanu tajā. L</w:t>
      </w:r>
      <w:r w:rsidR="00155739">
        <w:t>īvānu novadā</w:t>
      </w:r>
      <w:r w:rsidRPr="00237414">
        <w:t xml:space="preserve"> uz 2024. gada 31. decembri audžuģimenes statuss ar bāriņtiesas lēmumu piešķirts</w:t>
      </w:r>
      <w:r w:rsidR="00155739">
        <w:t xml:space="preserve"> tikai 1 ģimenei</w:t>
      </w:r>
      <w:r w:rsidRPr="00237414">
        <w:t>. Ārpus L</w:t>
      </w:r>
      <w:r w:rsidR="00A40DD3">
        <w:t>īvānu novada</w:t>
      </w:r>
      <w:r w:rsidRPr="00237414">
        <w:t xml:space="preserve"> audžuģimenēs ir ievietoti </w:t>
      </w:r>
      <w:r w:rsidR="0090479D">
        <w:t>2</w:t>
      </w:r>
      <w:r w:rsidRPr="00237414">
        <w:t>3 L</w:t>
      </w:r>
      <w:r w:rsidR="0090479D">
        <w:t xml:space="preserve">īvānu novada </w:t>
      </w:r>
      <w:r w:rsidRPr="00237414">
        <w:t xml:space="preserve">pašvaldības bērni. </w:t>
      </w:r>
    </w:p>
    <w:p w14:paraId="73AF4401" w14:textId="77777777" w:rsidR="0090479D" w:rsidRPr="001862C8" w:rsidRDefault="00237414" w:rsidP="006626F9">
      <w:pPr>
        <w:ind w:firstLine="720"/>
        <w:jc w:val="both"/>
        <w:rPr>
          <w:b/>
          <w:bCs/>
        </w:rPr>
      </w:pPr>
      <w:r w:rsidRPr="001862C8">
        <w:rPr>
          <w:b/>
          <w:bCs/>
        </w:rPr>
        <w:t>Par adopcijas lietām</w:t>
      </w:r>
    </w:p>
    <w:p w14:paraId="1109D786" w14:textId="77777777" w:rsidR="005D1AEC" w:rsidRDefault="00237414" w:rsidP="006626F9">
      <w:pPr>
        <w:ind w:firstLine="720"/>
        <w:jc w:val="both"/>
      </w:pPr>
      <w:r w:rsidRPr="00237414">
        <w:t xml:space="preserve"> Bērnu tiesību aizsardzības likuma 31. panta pirmajā un otrajā daļā noteikts, ka adopcija tiek atbalstīta, lai bērna attīstībai nodrošinātu ģimenisku vidi. Adopcijas uzdevums ir radīt bez vecāku gādības palikušajiem bērniem apstākļus audzināšanai ģimenē, nodrošinot stabilu un harmonisku dzīves vidi. Bāriņtiesas kompetence ir lemt par: 1) personas atzīšanu par adoptētāju 2) brāļu un māsu, pusbrāļu un pusmāsu šķiršanu Civillikumā noteiktajos gadījumos; 3) to, vai Latvijā iespējams nodrošināt bērna audzināšanu ģimenē vai pienācīgu </w:t>
      </w:r>
      <w:r w:rsidRPr="00237414">
        <w:lastRenderedPageBreak/>
        <w:t xml:space="preserve">aprūpi; 4) bērna nodošanu adoptētāja aprūpē un uzraudzībā līdz adopcijas apstiprināšanai; 5) </w:t>
      </w:r>
      <w:proofErr w:type="spellStart"/>
      <w:r w:rsidRPr="00237414">
        <w:t>pirmsadopcijas</w:t>
      </w:r>
      <w:proofErr w:type="spellEnd"/>
      <w:r w:rsidRPr="00237414">
        <w:t xml:space="preserve"> aprūpes izbeigšanu bērnam; 6) adopcijas atbilstību bērna interesēm. Saskaņā ar Ministru kabineta 2018. gada 30. oktobra noteikumiem Nr.667 “Adopcijas kārtība”, lai kļūtu par adoptētāju bāriņtiesā jāiesniedz adopcijas pieteikums, kurā norādīti adopcijas motīvi, adoptētāja reliģiskā pārliecība, etniskā piederība un saziņas valoda, vēlamais adoptējamo bērnu skaits, dzimums un vecums, citi būtiski apstākļi, kas var ietekmēt adoptējamā bērna dzīvi kopā ar attiecīgo personu, kā arī laulības apliecības kopija vai dokuments, kas apliecina laulības šķiršanu, dokuments, kas apliecina nodrošinājumu ar dzīvojamo platību, dzīves apraksts, ģimenes ārsta izsniegta izziņa par personas pašreizējo veselības stāvokli, kā arī psihiatra atzinums par personas psihiskās veselības stāvokli un narkologa atzinums par personas atkarību no narkotiskām un psihotropām vai citām atkarību izraisošām vielām u.c. adopcijas kārtībā paredzētie dokumenti. Sešu mēnešu laikā pēc adopcijas pieteikuma saņemšanas bāriņtiesa izvērtē personas piemērotību adoptētāja statusam. Izvērtēšanas laikā: - novērtē adopcijas motivāciju, ģimenes locekļu savstarpējās attiecības un spējas izaudzināt bērnu, tai skaitā noskaidro visu nedalītā saimniecībā dzīvojošo personu viedokli par bērna adopciju; - noskaidro ģimenes dzīves apstākļus un izvērtē materiālo stāvokli; - pieprasa informāciju par Sodu reģistrā iekļautajām ziņām par personu un citām nedalītā saimniecībā dzīvojošām personām; </w:t>
      </w:r>
      <w:proofErr w:type="spellStart"/>
      <w:r w:rsidRPr="00237414">
        <w:t>nosūta</w:t>
      </w:r>
      <w:proofErr w:type="spellEnd"/>
      <w:r w:rsidRPr="00237414">
        <w:t xml:space="preserve"> personu pie psihologa, lai saņemtu atzinumu par personas piemērotību adopcijai; - </w:t>
      </w:r>
      <w:proofErr w:type="spellStart"/>
      <w:r w:rsidRPr="00237414">
        <w:t>nosūta</w:t>
      </w:r>
      <w:proofErr w:type="spellEnd"/>
      <w:r w:rsidRPr="00237414">
        <w:t xml:space="preserve"> personu apgūt adoptētāja mācību programmu. Pēc ģimenes izpētes veikšanas bāriņtiesa lemj par personas atzīšanu par adoptētāju.</w:t>
      </w:r>
    </w:p>
    <w:p w14:paraId="6211CC76" w14:textId="71757494" w:rsidR="002D07F7" w:rsidRDefault="00237414" w:rsidP="006626F9">
      <w:pPr>
        <w:ind w:firstLine="720"/>
        <w:jc w:val="both"/>
      </w:pPr>
      <w:r w:rsidRPr="00237414">
        <w:t xml:space="preserve"> Pārskata periodā bāriņtiesa </w:t>
      </w:r>
      <w:r w:rsidR="00A41A5C">
        <w:t xml:space="preserve">nav pieņēmusi lēmumu un </w:t>
      </w:r>
      <w:r w:rsidRPr="00237414">
        <w:t>atzinusi par adoptētājiem</w:t>
      </w:r>
      <w:r w:rsidR="00105741">
        <w:t xml:space="preserve"> nevienu personu. </w:t>
      </w:r>
      <w:r w:rsidRPr="00237414">
        <w:t xml:space="preserve"> Ņemot vērā valsts politiku, arī 2024. gadā nav notikušas bērnu adopcijas uz ārvalstīm</w:t>
      </w:r>
      <w:r w:rsidR="008D3B89">
        <w:t>.</w:t>
      </w:r>
      <w:r w:rsidRPr="00237414">
        <w:t xml:space="preserve"> Kopumā 2024. gadā interese par adopciju ir samazinājusies, iespējams, tas ir saistīts ar sabiedrības iespējām un gatavību uzņemties saistības un atbildību par vēl kādu bērnu. </w:t>
      </w:r>
    </w:p>
    <w:p w14:paraId="568B73D6" w14:textId="77777777" w:rsidR="002D07F7" w:rsidRPr="00417967" w:rsidRDefault="00237414" w:rsidP="006626F9">
      <w:pPr>
        <w:ind w:firstLine="720"/>
        <w:jc w:val="both"/>
        <w:rPr>
          <w:b/>
          <w:bCs/>
        </w:rPr>
      </w:pPr>
      <w:r w:rsidRPr="00417967">
        <w:rPr>
          <w:b/>
          <w:bCs/>
        </w:rPr>
        <w:t xml:space="preserve">Par aizgādnības lietām </w:t>
      </w:r>
    </w:p>
    <w:p w14:paraId="7FFB4585" w14:textId="77777777" w:rsidR="00691D8E" w:rsidRDefault="00237414" w:rsidP="006626F9">
      <w:pPr>
        <w:ind w:firstLine="720"/>
        <w:jc w:val="both"/>
      </w:pPr>
      <w:r w:rsidRPr="00237414">
        <w:t>Aizgādnību nodibina pilngadīgai personai, kurai ierobežota rīcībspēja. Tāpat, neierobežojot personas rīcībspēju, pār personu noteiktos gadījumos var tikt nodibināta pagaidu aizgādnība, ja nepieciešams veikt pasākumus personas interešu aizsardzībai. Civillikumā noteikts, ka personas, kurai ir garīga rakstura vai citi veselības traucējumi rīcībspēju var ierobežot, ja tas nepieciešams šīs personas interesēs un ir vienīgais veids, kā tās aizsargāt. Bāriņtiesa saskaņā ar tiesas nolēmumu par aizgādnības nodibināšanu ieceļ aizgādni:</w:t>
      </w:r>
    </w:p>
    <w:p w14:paraId="54E44932" w14:textId="77777777" w:rsidR="00691D8E" w:rsidRDefault="00237414" w:rsidP="006626F9">
      <w:pPr>
        <w:ind w:firstLine="720"/>
        <w:jc w:val="both"/>
      </w:pPr>
      <w:r w:rsidRPr="00237414">
        <w:t xml:space="preserve"> 1) personai ar garīga rakstura vai citiem veselības traucējumiem, kurai rīcībspēju ierobežojusi tiesa; </w:t>
      </w:r>
    </w:p>
    <w:p w14:paraId="229433A5" w14:textId="77777777" w:rsidR="00691D8E" w:rsidRDefault="00237414" w:rsidP="006626F9">
      <w:pPr>
        <w:ind w:firstLine="720"/>
        <w:jc w:val="both"/>
      </w:pPr>
      <w:r w:rsidRPr="00237414">
        <w:t xml:space="preserve">2) personai, kurai tiesa nodibinājusi pagaidu aizgādnību; </w:t>
      </w:r>
    </w:p>
    <w:p w14:paraId="24874BCB" w14:textId="77777777" w:rsidR="00691D8E" w:rsidRDefault="00237414" w:rsidP="006626F9">
      <w:pPr>
        <w:ind w:firstLine="720"/>
        <w:jc w:val="both"/>
      </w:pPr>
      <w:r w:rsidRPr="00237414">
        <w:t xml:space="preserve">3) personai, kurai rīcībspēju tiesa ierobežojusi izlaidīgas vai izšķērdīgas dzīves dēļ, kā arī alkohola vai citu apreibinošo vielu pārmērīgas lietošanas dēļ; </w:t>
      </w:r>
    </w:p>
    <w:p w14:paraId="4FEE955E" w14:textId="77777777" w:rsidR="00691D8E" w:rsidRDefault="00237414" w:rsidP="006626F9">
      <w:pPr>
        <w:ind w:firstLine="720"/>
        <w:jc w:val="both"/>
      </w:pPr>
      <w:r w:rsidRPr="00237414">
        <w:t>4) promesošās vai pazudušas personas mantai; 5) testamenta izpildīšanai.</w:t>
      </w:r>
    </w:p>
    <w:p w14:paraId="4C4FE571" w14:textId="77777777" w:rsidR="00F904BA" w:rsidRDefault="00237414" w:rsidP="006626F9">
      <w:pPr>
        <w:ind w:firstLine="720"/>
        <w:jc w:val="both"/>
      </w:pPr>
      <w:r w:rsidRPr="00237414">
        <w:t xml:space="preserve"> Atbilstoši Bāriņtiesu likumā noteiktajam, bāriņtiesa saskaņā ar notāra taisīto notariālo aktu par aizgādnības nodibināšanu mantojumam ieceļ aizgādni. Pārskata periodā bāriņtiesa iecēlusi aizgādni </w:t>
      </w:r>
      <w:r w:rsidR="00860B7D">
        <w:t xml:space="preserve">3 </w:t>
      </w:r>
      <w:r w:rsidRPr="00237414">
        <w:t xml:space="preserve">mantojuma aizgādnības lietās, lai nodrošinātu mantojuma pārstāvību, uzraudzību un apsaimniekošanu. </w:t>
      </w:r>
    </w:p>
    <w:p w14:paraId="21B3518F" w14:textId="77777777" w:rsidR="00F904BA" w:rsidRDefault="00237414" w:rsidP="006626F9">
      <w:pPr>
        <w:ind w:firstLine="720"/>
        <w:jc w:val="both"/>
      </w:pPr>
      <w:r w:rsidRPr="00237414">
        <w:t xml:space="preserve">Atbilstoši Civilprocesa 268. pantam, ja tiesa uz pierādījumu pamata konstatē, ka personas rīcībspēja ir ierobežojama, tā taisa spriedumu, kurā norāda rīcībspējas ierobežojuma </w:t>
      </w:r>
      <w:r w:rsidRPr="00237414">
        <w:lastRenderedPageBreak/>
        <w:t xml:space="preserve">apjomu un ar kuru nodibina personai aizgādnību. Tiesa, izvērtējot personas spējas, nosaka, vai un kādā apjomā aizgādnis ar aizgādnībā esošo rīkojas kopā, un tikai pēc tam apjomu, kādā aizgādnis rīkojas patstāvīgi. Vienlaikus tiesa uzliek par pienākumu bāriņtiesai iecelt šai personai aizgādni, kam uzdod rīkoties tiesas noteiktajā apjomā. Jāņem vērā, ka tiesas spriedumu par rīcībspējas ierobežojumu var pārskatīt jebkurā brīdī, bet ne retāk kā reizi septiņos gados no tā spēkā stāšanās dienas. </w:t>
      </w:r>
    </w:p>
    <w:p w14:paraId="093184CB" w14:textId="53344624" w:rsidR="005E3508" w:rsidRDefault="00237414" w:rsidP="006626F9">
      <w:pPr>
        <w:ind w:firstLine="720"/>
        <w:jc w:val="both"/>
      </w:pPr>
      <w:r w:rsidRPr="00237414">
        <w:t xml:space="preserve">2024. gadā bāriņtiesas pārraudzībā bija </w:t>
      </w:r>
      <w:r w:rsidR="000F0F7D">
        <w:t>19</w:t>
      </w:r>
      <w:r w:rsidRPr="00237414">
        <w:t xml:space="preserve"> aizgādnības lietas</w:t>
      </w:r>
      <w:r w:rsidR="00A127DC">
        <w:t xml:space="preserve">. </w:t>
      </w:r>
      <w:r w:rsidRPr="00237414">
        <w:t xml:space="preserve"> 2024. gadā </w:t>
      </w:r>
      <w:r w:rsidR="00DD55BB">
        <w:t>1</w:t>
      </w:r>
      <w:r w:rsidRPr="00691D8E">
        <w:rPr>
          <w:color w:val="2B2B00"/>
        </w:rPr>
        <w:t>person</w:t>
      </w:r>
      <w:r w:rsidR="00DD55BB">
        <w:rPr>
          <w:color w:val="2B2B00"/>
        </w:rPr>
        <w:t>ai</w:t>
      </w:r>
      <w:r w:rsidRPr="00691D8E">
        <w:rPr>
          <w:color w:val="2B2B00"/>
        </w:rPr>
        <w:t xml:space="preserve"> ar rīcībspējas ierobežojumiem ir iecelts aizgādnis, </w:t>
      </w:r>
      <w:r w:rsidR="000665AA" w:rsidRPr="00691D8E">
        <w:rPr>
          <w:color w:val="2B2B00"/>
        </w:rPr>
        <w:t>17</w:t>
      </w:r>
      <w:r w:rsidRPr="00691D8E">
        <w:rPr>
          <w:color w:val="2B2B00"/>
        </w:rPr>
        <w:t xml:space="preserve"> aizgādņi bijuši tuvi radinieki, bet </w:t>
      </w:r>
      <w:r w:rsidR="00023AA1" w:rsidRPr="00691D8E">
        <w:rPr>
          <w:color w:val="2B2B00"/>
        </w:rPr>
        <w:t>2</w:t>
      </w:r>
      <w:r w:rsidRPr="00691D8E">
        <w:rPr>
          <w:color w:val="2B2B00"/>
        </w:rPr>
        <w:t xml:space="preserve"> gadījumos aizgādnis bijis aizgādnībā esošajai personai sveša persona. 2024. gadā no aizgādņa pienākumu pildīšanas ar bāriņtiesas lēmumu atlaist</w:t>
      </w:r>
      <w:r w:rsidR="005E3508" w:rsidRPr="00691D8E">
        <w:rPr>
          <w:color w:val="2B2B00"/>
        </w:rPr>
        <w:t>i</w:t>
      </w:r>
      <w:r w:rsidRPr="00691D8E">
        <w:rPr>
          <w:color w:val="2B2B00"/>
        </w:rPr>
        <w:t xml:space="preserve"> </w:t>
      </w:r>
      <w:r w:rsidR="008D7D41" w:rsidRPr="00691D8E">
        <w:rPr>
          <w:color w:val="2B2B00"/>
        </w:rPr>
        <w:t xml:space="preserve">6 </w:t>
      </w:r>
      <w:r w:rsidRPr="00691D8E">
        <w:rPr>
          <w:color w:val="2B2B00"/>
        </w:rPr>
        <w:t xml:space="preserve">aizgādņi, kuru aizgādnībā esošās personas mirušas vai arī aizgādnībā esošajai personai bijis nepieciešams aizgādni mainīt. Pārskata periodā joprojām ir aktuāla problēma atrast piemērotu aizgādni personām, kurām nav radinieku vai arī, ja radiniekiem ir normatīvajos aktos noteiktie šķēršļi uzņemties </w:t>
      </w:r>
      <w:r w:rsidRPr="00237414">
        <w:t xml:space="preserve">aizgādņa pienākumus. </w:t>
      </w:r>
    </w:p>
    <w:p w14:paraId="3BC1CC41" w14:textId="77777777" w:rsidR="005E3508" w:rsidRPr="005E3508" w:rsidRDefault="00237414" w:rsidP="006626F9">
      <w:pPr>
        <w:ind w:firstLine="720"/>
        <w:jc w:val="both"/>
        <w:rPr>
          <w:b/>
          <w:bCs/>
        </w:rPr>
      </w:pPr>
      <w:r w:rsidRPr="005E3508">
        <w:rPr>
          <w:b/>
          <w:bCs/>
        </w:rPr>
        <w:t xml:space="preserve">Par bērnu mantisko interešu nodrošināšanu un aizstāvību </w:t>
      </w:r>
    </w:p>
    <w:p w14:paraId="6B1E8C21" w14:textId="77777777" w:rsidR="009C33F5" w:rsidRDefault="00237414" w:rsidP="006626F9">
      <w:pPr>
        <w:ind w:firstLine="720"/>
        <w:jc w:val="both"/>
      </w:pPr>
      <w:r w:rsidRPr="00237414">
        <w:t>Bāriņtiesa, aizstāvot bērna mantiskās intereses:</w:t>
      </w:r>
    </w:p>
    <w:p w14:paraId="1EB79C26" w14:textId="0BC6F7D6" w:rsidR="009C33F5" w:rsidRDefault="00237414" w:rsidP="006626F9">
      <w:pPr>
        <w:ind w:firstLine="720"/>
        <w:jc w:val="both"/>
      </w:pPr>
      <w:r w:rsidRPr="00237414">
        <w:t xml:space="preserve"> 1) lemj par atļauju pieņemt vai atraidīt bērna vārdā viņam piekrītošo mantojumu; </w:t>
      </w:r>
    </w:p>
    <w:p w14:paraId="3CA0E2C0" w14:textId="77777777" w:rsidR="009C33F5" w:rsidRDefault="00237414" w:rsidP="006626F9">
      <w:pPr>
        <w:ind w:firstLine="720"/>
        <w:jc w:val="both"/>
      </w:pPr>
      <w:r w:rsidRPr="00237414">
        <w:t xml:space="preserve">2) lemj par bērnam piederošas mantas pārdošanu par tirgus vērtību vai izsolē; 3) lemj par mantojuma sadalīšanu, bērna mantas (ja tās vērtība nepārsniedz 14 000 </w:t>
      </w:r>
      <w:proofErr w:type="spellStart"/>
      <w:r w:rsidRPr="00237414">
        <w:t>euro</w:t>
      </w:r>
      <w:proofErr w:type="spellEnd"/>
      <w:r w:rsidRPr="00237414">
        <w:t xml:space="preserve">) atsavināšanu, ieķīlāšanu vai apgrūtināšanu ar citām lietu tiesībām; </w:t>
      </w:r>
    </w:p>
    <w:p w14:paraId="25AE8B8A" w14:textId="77777777" w:rsidR="009C33F5" w:rsidRDefault="00237414" w:rsidP="006626F9">
      <w:pPr>
        <w:ind w:firstLine="720"/>
        <w:jc w:val="both"/>
      </w:pPr>
      <w:r w:rsidRPr="00237414">
        <w:t xml:space="preserve">4) lemj par bērnam piederošā nekustamā īpašuma (ja tā vērtība pārsniedz 14 000 </w:t>
      </w:r>
      <w:proofErr w:type="spellStart"/>
      <w:r w:rsidRPr="00237414">
        <w:t>euro</w:t>
      </w:r>
      <w:proofErr w:type="spellEnd"/>
      <w:r w:rsidRPr="00237414">
        <w:t>) atsavināšanas, ieķīlāšanas vai apgrūtināšanas ar citām lietu tiesībām lietderīgumu;</w:t>
      </w:r>
    </w:p>
    <w:p w14:paraId="14293445" w14:textId="77777777" w:rsidR="009C33F5" w:rsidRDefault="00237414" w:rsidP="006626F9">
      <w:pPr>
        <w:ind w:firstLine="720"/>
        <w:jc w:val="both"/>
      </w:pPr>
      <w:r w:rsidRPr="00237414">
        <w:t xml:space="preserve"> 5) lemj par īpašuma iegūšanu bērnam;</w:t>
      </w:r>
    </w:p>
    <w:p w14:paraId="34F45589" w14:textId="77777777" w:rsidR="009C33F5" w:rsidRDefault="00237414" w:rsidP="006626F9">
      <w:pPr>
        <w:ind w:firstLine="720"/>
        <w:jc w:val="both"/>
      </w:pPr>
      <w:r w:rsidRPr="00237414">
        <w:t xml:space="preserve"> 6) ieceļ aizbildni tiesisku darījumu noslēgšanai starp bērnu un vecākiem; </w:t>
      </w:r>
    </w:p>
    <w:p w14:paraId="48FDB1FA" w14:textId="77777777" w:rsidR="009C33F5" w:rsidRDefault="00237414" w:rsidP="006626F9">
      <w:pPr>
        <w:ind w:firstLine="720"/>
        <w:jc w:val="both"/>
      </w:pPr>
      <w:r w:rsidRPr="00237414">
        <w:t>7) lemj par mantojuma pārvaldīšanas un lietošanas tiesību atņemšanu, ja pārdzīvojušais laulātais bērnam piekritušo mantojumu pārvalda vai lieto nekārtīgi;</w:t>
      </w:r>
    </w:p>
    <w:p w14:paraId="0824A3AF" w14:textId="4D1FDC88" w:rsidR="009C33F5" w:rsidRDefault="00237414" w:rsidP="006626F9">
      <w:pPr>
        <w:ind w:firstLine="720"/>
        <w:jc w:val="both"/>
      </w:pPr>
      <w:r w:rsidRPr="00237414">
        <w:t xml:space="preserve"> 8) lemj par vecāka atstādināšanu no bērna mantas pārvaldības, ja vecāks pārvalda bērna mantu neatbilstoši bērna interesēm; </w:t>
      </w:r>
    </w:p>
    <w:p w14:paraId="1ECD1CD5" w14:textId="77777777" w:rsidR="009C33F5" w:rsidRDefault="00237414" w:rsidP="006626F9">
      <w:pPr>
        <w:ind w:firstLine="720"/>
        <w:jc w:val="both"/>
      </w:pPr>
      <w:r w:rsidRPr="00237414">
        <w:t>9) veic citus bērna mantisko tiesību aizsardzības pasākumus.</w:t>
      </w:r>
    </w:p>
    <w:p w14:paraId="7C660A41" w14:textId="77777777" w:rsidR="009B68F0" w:rsidRDefault="00237414" w:rsidP="006626F9">
      <w:pPr>
        <w:ind w:firstLine="720"/>
        <w:jc w:val="both"/>
      </w:pPr>
      <w:r w:rsidRPr="00237414">
        <w:t xml:space="preserve"> 2024. gadā, aizstāvot bērnu mantiskās intereses, bāriņtiesa pieņēmusi </w:t>
      </w:r>
      <w:r w:rsidR="009B68F0">
        <w:t xml:space="preserve">5 </w:t>
      </w:r>
      <w:r w:rsidRPr="00237414">
        <w:t>lēmumu</w:t>
      </w:r>
      <w:r w:rsidR="009B68F0">
        <w:t>s.</w:t>
      </w:r>
    </w:p>
    <w:p w14:paraId="1633D2A9" w14:textId="71A456F9" w:rsidR="00100C2F" w:rsidRPr="009B68F0" w:rsidRDefault="00237414" w:rsidP="006626F9">
      <w:pPr>
        <w:ind w:firstLine="720"/>
        <w:jc w:val="both"/>
        <w:rPr>
          <w:b/>
          <w:bCs/>
        </w:rPr>
      </w:pPr>
      <w:r w:rsidRPr="009B68F0">
        <w:rPr>
          <w:b/>
          <w:bCs/>
        </w:rPr>
        <w:t>Par bāriņtiesas sniegtajiem atzinumiem pēc tiesas pieprasījuma</w:t>
      </w:r>
    </w:p>
    <w:p w14:paraId="281E25D2" w14:textId="77777777" w:rsidR="009B68F0" w:rsidRDefault="00237414" w:rsidP="006626F9">
      <w:pPr>
        <w:ind w:firstLine="720"/>
        <w:jc w:val="both"/>
      </w:pPr>
      <w:r w:rsidRPr="00237414">
        <w:t xml:space="preserve"> Bāriņtiesa pēc tiesas pieprasījuma sniedz atzinumus, kas nepieciešami šādos gadījumos:</w:t>
      </w:r>
    </w:p>
    <w:p w14:paraId="682313E0" w14:textId="77777777" w:rsidR="009B68F0" w:rsidRDefault="00237414" w:rsidP="006626F9">
      <w:pPr>
        <w:ind w:firstLine="720"/>
        <w:jc w:val="both"/>
      </w:pPr>
      <w:r w:rsidRPr="00237414">
        <w:t xml:space="preserve"> 1) lai noteiktu kārtību, kādā izmantojamas saskarsmes tiesības un tiesības uzturēt personiskas attiecības un tiešus kontaktus ar bērnu;</w:t>
      </w:r>
    </w:p>
    <w:p w14:paraId="39C5BBB5" w14:textId="77777777" w:rsidR="009B68F0" w:rsidRDefault="00237414" w:rsidP="006626F9">
      <w:pPr>
        <w:ind w:firstLine="720"/>
        <w:jc w:val="both"/>
      </w:pPr>
      <w:r w:rsidRPr="00237414">
        <w:t xml:space="preserve"> 2) viena vecāka atsevišķas aizgādības noteikšanai; </w:t>
      </w:r>
    </w:p>
    <w:p w14:paraId="413EDFCD" w14:textId="77777777" w:rsidR="009B68F0" w:rsidRDefault="00237414" w:rsidP="006626F9">
      <w:pPr>
        <w:ind w:firstLine="720"/>
        <w:jc w:val="both"/>
      </w:pPr>
      <w:r w:rsidRPr="00237414">
        <w:t>3) aizgādības tiesību atņemšanai un atjaunošanai;</w:t>
      </w:r>
    </w:p>
    <w:p w14:paraId="75AA85FA" w14:textId="77777777" w:rsidR="009B68F0" w:rsidRDefault="00237414" w:rsidP="006626F9">
      <w:pPr>
        <w:ind w:firstLine="720"/>
        <w:jc w:val="both"/>
      </w:pPr>
      <w:r w:rsidRPr="00237414">
        <w:t xml:space="preserve"> 4) paternitātes atzīšanai vai apstrīdēšanai; </w:t>
      </w:r>
    </w:p>
    <w:p w14:paraId="790CC35C" w14:textId="77777777" w:rsidR="009B68F0" w:rsidRDefault="00237414" w:rsidP="006626F9">
      <w:pPr>
        <w:ind w:firstLine="720"/>
        <w:jc w:val="both"/>
      </w:pPr>
      <w:r w:rsidRPr="00237414">
        <w:lastRenderedPageBreak/>
        <w:t>5) citos Civilprocesa likumā paredzētajos gadījumos.</w:t>
      </w:r>
    </w:p>
    <w:p w14:paraId="5E96B029" w14:textId="77777777" w:rsidR="00D65B23" w:rsidRDefault="00237414" w:rsidP="006626F9">
      <w:pPr>
        <w:ind w:firstLine="720"/>
        <w:jc w:val="both"/>
      </w:pPr>
      <w:r w:rsidRPr="00237414">
        <w:t xml:space="preserve"> 2024. gadā par atzinumu sniegšanu tiesai par atsevišķas aizgādības noteikšanu, par saskarsmes tiesību noteikšanu, par aizgādības tiesību atņemšanu un atjaunošanu, par paternitātes atzīšanu vai apstrīdēšanu ir ierosinātas kopumā </w:t>
      </w:r>
      <w:r w:rsidR="001265DD">
        <w:t xml:space="preserve">6 </w:t>
      </w:r>
      <w:r w:rsidRPr="00237414">
        <w:t xml:space="preserve">lietas. 2024. gadā bāriņtiesa ir sniegusi </w:t>
      </w:r>
      <w:r w:rsidR="00664D15">
        <w:t>5</w:t>
      </w:r>
      <w:r w:rsidRPr="00237414">
        <w:t xml:space="preserve"> atzinumu, lai noteiktu kārtību, kādā izmantojama saskarsmes tiesība,</w:t>
      </w:r>
      <w:r w:rsidR="00664D15">
        <w:t xml:space="preserve">1 </w:t>
      </w:r>
      <w:r w:rsidRPr="00237414">
        <w:t>atzinumu</w:t>
      </w:r>
      <w:r w:rsidR="00664D15">
        <w:t xml:space="preserve"> </w:t>
      </w:r>
      <w:r w:rsidRPr="00237414">
        <w:t>atsevišķas aizgādības noteikšanai, 1 atzinumus par dzīvesvietas noteikšanu un vienu atzinumu par aizgādības tiesību at</w:t>
      </w:r>
      <w:r w:rsidR="002E2DC1">
        <w:t>jaunošanu</w:t>
      </w:r>
      <w:r w:rsidRPr="00237414">
        <w:t xml:space="preserve">. Lai tiesa līdz sprieduma taisīšanai varētu pieņemt pagaidu lēmumu par bērna dzīvesvietu, bērna aprūpes kārtību, saskarsmes tiesību izmantošanas kārtību un aizliegumu izvest bērnu no valsts, bāriņtiesa pēc tiesas pieprasījuma sniedz savā rīcībā esošās ziņas un citus pierādījumus par: </w:t>
      </w:r>
    </w:p>
    <w:p w14:paraId="194539FA" w14:textId="77777777" w:rsidR="00D65B23" w:rsidRDefault="00237414" w:rsidP="006626F9">
      <w:pPr>
        <w:ind w:firstLine="720"/>
        <w:jc w:val="both"/>
      </w:pPr>
      <w:r w:rsidRPr="00237414">
        <w:t>1) personas dzīves apstākļiem;</w:t>
      </w:r>
    </w:p>
    <w:p w14:paraId="6A43BE07" w14:textId="77777777" w:rsidR="00D65B23" w:rsidRDefault="00237414" w:rsidP="006626F9">
      <w:pPr>
        <w:ind w:firstLine="720"/>
        <w:jc w:val="both"/>
      </w:pPr>
      <w:r w:rsidRPr="00237414">
        <w:t xml:space="preserve"> 2) bērna viedokli, ja bērns ir spējīgs to formulēt, ņemot vērā viņa vecumu un brieduma pakāpi; </w:t>
      </w:r>
    </w:p>
    <w:p w14:paraId="34CD913F" w14:textId="77777777" w:rsidR="00D65B23" w:rsidRDefault="00237414" w:rsidP="006626F9">
      <w:pPr>
        <w:ind w:firstLine="720"/>
        <w:jc w:val="both"/>
      </w:pPr>
      <w:r w:rsidRPr="00237414">
        <w:t>3) bērna saskarsmi ar vecākiem un citām personām, kas dzīvo vai ir zināms, ka dzīvos ar bērnu vienā mājsaimniecībā;</w:t>
      </w:r>
    </w:p>
    <w:p w14:paraId="29AE8C60" w14:textId="77777777" w:rsidR="00D65B23" w:rsidRDefault="00237414" w:rsidP="006626F9">
      <w:pPr>
        <w:ind w:firstLine="720"/>
        <w:jc w:val="both"/>
      </w:pPr>
      <w:r w:rsidRPr="00237414">
        <w:t xml:space="preserve"> 4) bērna veselības aprūpi un izglītību; </w:t>
      </w:r>
    </w:p>
    <w:p w14:paraId="0EC8A14C" w14:textId="77777777" w:rsidR="00D65B23" w:rsidRDefault="00237414" w:rsidP="006626F9">
      <w:pPr>
        <w:ind w:firstLine="720"/>
        <w:jc w:val="both"/>
      </w:pPr>
      <w:r w:rsidRPr="00237414">
        <w:t xml:space="preserve">5) personas sadarbību ar sociālo dienestu; </w:t>
      </w:r>
    </w:p>
    <w:p w14:paraId="052A1209" w14:textId="3A028C2E" w:rsidR="00D65B23" w:rsidRDefault="00237414" w:rsidP="006626F9">
      <w:pPr>
        <w:ind w:firstLine="720"/>
        <w:jc w:val="both"/>
      </w:pPr>
      <w:r w:rsidRPr="00237414">
        <w:t>6) personām, kas dzīvo vai ir zināms, ka dzīvos ar bērnu vienā mājsaimniecībā;</w:t>
      </w:r>
    </w:p>
    <w:p w14:paraId="606438BD" w14:textId="7FE19A99" w:rsidR="00D65B23" w:rsidRDefault="00237414" w:rsidP="006626F9">
      <w:pPr>
        <w:ind w:firstLine="720"/>
        <w:jc w:val="both"/>
      </w:pPr>
      <w:r w:rsidRPr="00237414">
        <w:t xml:space="preserve"> 7) personas vardarbību pret bērnu vai bērna vecāku</w:t>
      </w:r>
      <w:r w:rsidR="00D65B23">
        <w:t>.</w:t>
      </w:r>
    </w:p>
    <w:p w14:paraId="661F9D95" w14:textId="2E81A6FF" w:rsidR="007B3D76" w:rsidRDefault="00237414" w:rsidP="006626F9">
      <w:pPr>
        <w:ind w:firstLine="720"/>
        <w:jc w:val="both"/>
      </w:pPr>
      <w:r w:rsidRPr="00237414">
        <w:t xml:space="preserve"> Ar katru gadu lietas, kas saistītas ar vecāku strīdu bērna aizgādības un saskarsmes tiesības noteikšanā, kļūst komplicētākas un prasa no bāriņtiesas ilgstošu un emocionāli smagu darbu, kas ietver katras ģimenes situācijas izpēti un analīzi. Dažkārt tiesvedība ieilgst vairākus gadus. </w:t>
      </w:r>
    </w:p>
    <w:p w14:paraId="28B638C6" w14:textId="409507BE" w:rsidR="00D42830" w:rsidRDefault="00D42830" w:rsidP="006626F9">
      <w:pPr>
        <w:ind w:firstLine="720"/>
        <w:jc w:val="both"/>
      </w:pPr>
      <w:r>
        <w:t>2024. gadā Bāriņtiesa</w:t>
      </w:r>
      <w:r w:rsidR="005870F8">
        <w:t xml:space="preserve"> </w:t>
      </w:r>
      <w:r>
        <w:t>ir piedalījusies</w:t>
      </w:r>
      <w:r w:rsidR="005870F8">
        <w:t xml:space="preserve"> tiesas sēdēs</w:t>
      </w:r>
      <w:r w:rsidR="00E72E94">
        <w:t xml:space="preserve"> 43</w:t>
      </w:r>
      <w:r w:rsidR="004A5BAF">
        <w:t xml:space="preserve"> </w:t>
      </w:r>
      <w:r w:rsidR="00E93FD5">
        <w:t>no kurām 19 tiesas sēdes ir bijušas lietās, kas sai</w:t>
      </w:r>
      <w:r w:rsidR="00036992">
        <w:t>s</w:t>
      </w:r>
      <w:r w:rsidR="00E93FD5">
        <w:t>tītas ar vecāku strīdu bērna aizgādības un saskarsmes kārtības noteikšanā</w:t>
      </w:r>
      <w:r w:rsidR="00036992">
        <w:t>.</w:t>
      </w:r>
    </w:p>
    <w:p w14:paraId="218897FE" w14:textId="3A99FD3E" w:rsidR="00036992" w:rsidRDefault="00036992" w:rsidP="006626F9">
      <w:pPr>
        <w:ind w:firstLine="720"/>
        <w:jc w:val="both"/>
      </w:pPr>
      <w:r>
        <w:t xml:space="preserve">Bāriņtiesa 2024.gadā nodrošināja bērna/ bērnu saskarsmi ar </w:t>
      </w:r>
      <w:r w:rsidR="00584212">
        <w:t xml:space="preserve">vecāku/ tuviem radiniekiem </w:t>
      </w:r>
      <w:r w:rsidR="00431259">
        <w:t>7</w:t>
      </w:r>
      <w:r w:rsidR="00D0140C">
        <w:t xml:space="preserve"> administratīvajās lietās, no kurām </w:t>
      </w:r>
      <w:r w:rsidR="00431259">
        <w:t xml:space="preserve">4 lietās bija tiesas lēmums par saskarsmi </w:t>
      </w:r>
      <w:r w:rsidR="004A5BAF">
        <w:t>Bāriņtiesas darbinieka klātbūtnē.</w:t>
      </w:r>
    </w:p>
    <w:p w14:paraId="4731BE26" w14:textId="77777777" w:rsidR="009E5A7F" w:rsidRDefault="009E5A7F" w:rsidP="009E5A7F">
      <w:pPr>
        <w:ind w:firstLine="720"/>
      </w:pPr>
    </w:p>
    <w:p w14:paraId="5A58A26D" w14:textId="654CE5F6" w:rsidR="009E5A7F" w:rsidRPr="00415405" w:rsidRDefault="009E5A7F" w:rsidP="009E5A7F">
      <w:pPr>
        <w:rPr>
          <w:i/>
          <w:iCs/>
        </w:rPr>
      </w:pPr>
      <w:r w:rsidRPr="00415405">
        <w:rPr>
          <w:i/>
          <w:iCs/>
        </w:rPr>
        <w:t>Pielikumā- statistikas pārskats par bāriņtiesas darbu 202</w:t>
      </w:r>
      <w:r>
        <w:rPr>
          <w:i/>
          <w:iCs/>
        </w:rPr>
        <w:t>4</w:t>
      </w:r>
      <w:r w:rsidRPr="00415405">
        <w:rPr>
          <w:i/>
          <w:iCs/>
        </w:rPr>
        <w:t xml:space="preserve">.gadā uz </w:t>
      </w:r>
      <w:r>
        <w:rPr>
          <w:i/>
          <w:iCs/>
        </w:rPr>
        <w:t>24</w:t>
      </w:r>
      <w:r w:rsidRPr="00415405">
        <w:rPr>
          <w:i/>
          <w:iCs/>
        </w:rPr>
        <w:t xml:space="preserve"> lappusēm</w:t>
      </w:r>
    </w:p>
    <w:p w14:paraId="155C1BA6" w14:textId="77777777" w:rsidR="009E5A7F" w:rsidRDefault="009E5A7F" w:rsidP="009E5A7F">
      <w:pPr>
        <w:ind w:firstLine="720"/>
      </w:pPr>
    </w:p>
    <w:p w14:paraId="099D5FF0" w14:textId="225BB09C" w:rsidR="009E5A7F" w:rsidRDefault="009E5A7F" w:rsidP="009E5A7F">
      <w:r>
        <w:t xml:space="preserve">Līvānu novada bāriņtiesas priekšsēdētāja                                </w:t>
      </w:r>
      <w:r w:rsidR="00AF40FE">
        <w:t xml:space="preserve"> </w:t>
      </w:r>
      <w:r>
        <w:t xml:space="preserve">    Sandra Rivča</w:t>
      </w:r>
    </w:p>
    <w:p w14:paraId="0272BAF8" w14:textId="77777777" w:rsidR="00691379" w:rsidRDefault="00691379" w:rsidP="000D31D7">
      <w:pPr>
        <w:ind w:firstLine="720"/>
      </w:pPr>
    </w:p>
    <w:sectPr w:rsidR="006913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D7"/>
    <w:rsid w:val="00023AA1"/>
    <w:rsid w:val="00023DB2"/>
    <w:rsid w:val="00036992"/>
    <w:rsid w:val="000413C6"/>
    <w:rsid w:val="000508AB"/>
    <w:rsid w:val="000665AA"/>
    <w:rsid w:val="000C0893"/>
    <w:rsid w:val="000D31D7"/>
    <w:rsid w:val="000F0F7D"/>
    <w:rsid w:val="00100C2F"/>
    <w:rsid w:val="00100D54"/>
    <w:rsid w:val="00105741"/>
    <w:rsid w:val="001265DD"/>
    <w:rsid w:val="00155739"/>
    <w:rsid w:val="00181864"/>
    <w:rsid w:val="00181E05"/>
    <w:rsid w:val="001862C8"/>
    <w:rsid w:val="001E4EA3"/>
    <w:rsid w:val="00237414"/>
    <w:rsid w:val="0026728C"/>
    <w:rsid w:val="002A7343"/>
    <w:rsid w:val="002C7396"/>
    <w:rsid w:val="002D07F7"/>
    <w:rsid w:val="002D613C"/>
    <w:rsid w:val="002E2DC1"/>
    <w:rsid w:val="00321181"/>
    <w:rsid w:val="0032377D"/>
    <w:rsid w:val="003E777B"/>
    <w:rsid w:val="00415BC5"/>
    <w:rsid w:val="00417967"/>
    <w:rsid w:val="00431259"/>
    <w:rsid w:val="00441E2E"/>
    <w:rsid w:val="0047760C"/>
    <w:rsid w:val="00495D85"/>
    <w:rsid w:val="004A5BAF"/>
    <w:rsid w:val="004B56B6"/>
    <w:rsid w:val="0052255A"/>
    <w:rsid w:val="0053616C"/>
    <w:rsid w:val="00547130"/>
    <w:rsid w:val="00547D16"/>
    <w:rsid w:val="00584212"/>
    <w:rsid w:val="005870F8"/>
    <w:rsid w:val="005954C5"/>
    <w:rsid w:val="005D1AEC"/>
    <w:rsid w:val="005E3508"/>
    <w:rsid w:val="00660B01"/>
    <w:rsid w:val="006626F9"/>
    <w:rsid w:val="00664D15"/>
    <w:rsid w:val="00691379"/>
    <w:rsid w:val="00691D8E"/>
    <w:rsid w:val="006B1292"/>
    <w:rsid w:val="006B599D"/>
    <w:rsid w:val="006F068E"/>
    <w:rsid w:val="00722623"/>
    <w:rsid w:val="007B3D76"/>
    <w:rsid w:val="007C40E0"/>
    <w:rsid w:val="00860B7D"/>
    <w:rsid w:val="00876E81"/>
    <w:rsid w:val="008D3B89"/>
    <w:rsid w:val="008D7D41"/>
    <w:rsid w:val="0090479D"/>
    <w:rsid w:val="009075B3"/>
    <w:rsid w:val="009176F2"/>
    <w:rsid w:val="0094168B"/>
    <w:rsid w:val="009B68F0"/>
    <w:rsid w:val="009C33F5"/>
    <w:rsid w:val="009E5A7F"/>
    <w:rsid w:val="009E608A"/>
    <w:rsid w:val="00A127DC"/>
    <w:rsid w:val="00A40DD3"/>
    <w:rsid w:val="00A41A5C"/>
    <w:rsid w:val="00A56A41"/>
    <w:rsid w:val="00AF40FE"/>
    <w:rsid w:val="00B33855"/>
    <w:rsid w:val="00BC6B85"/>
    <w:rsid w:val="00C02A51"/>
    <w:rsid w:val="00C51F32"/>
    <w:rsid w:val="00C72FB4"/>
    <w:rsid w:val="00D0140C"/>
    <w:rsid w:val="00D42830"/>
    <w:rsid w:val="00D65B23"/>
    <w:rsid w:val="00D97180"/>
    <w:rsid w:val="00D971C6"/>
    <w:rsid w:val="00DB2DB6"/>
    <w:rsid w:val="00DD22F9"/>
    <w:rsid w:val="00DD55BB"/>
    <w:rsid w:val="00E12A4A"/>
    <w:rsid w:val="00E253A4"/>
    <w:rsid w:val="00E411B4"/>
    <w:rsid w:val="00E7067B"/>
    <w:rsid w:val="00E72E94"/>
    <w:rsid w:val="00E93FD5"/>
    <w:rsid w:val="00F90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44E85"/>
  <w15:chartTrackingRefBased/>
  <w15:docId w15:val="{3BE54100-6F08-4DB4-ADA2-CE44D837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D3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D3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D31D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D31D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D31D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D31D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D31D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D31D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D31D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31D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31D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31D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31D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31D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31D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31D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31D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31D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3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D31D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31D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D31D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31D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D31D7"/>
    <w:rPr>
      <w:i/>
      <w:iCs/>
      <w:color w:val="404040" w:themeColor="text1" w:themeTint="BF"/>
    </w:rPr>
  </w:style>
  <w:style w:type="paragraph" w:styleId="Sarakstarindkopa">
    <w:name w:val="List Paragraph"/>
    <w:basedOn w:val="Parasts"/>
    <w:uiPriority w:val="34"/>
    <w:qFormat/>
    <w:rsid w:val="000D31D7"/>
    <w:pPr>
      <w:ind w:left="720"/>
      <w:contextualSpacing/>
    </w:pPr>
  </w:style>
  <w:style w:type="character" w:styleId="Intensvsizclums">
    <w:name w:val="Intense Emphasis"/>
    <w:basedOn w:val="Noklusjumarindkopasfonts"/>
    <w:uiPriority w:val="21"/>
    <w:qFormat/>
    <w:rsid w:val="000D31D7"/>
    <w:rPr>
      <w:i/>
      <w:iCs/>
      <w:color w:val="2F5496" w:themeColor="accent1" w:themeShade="BF"/>
    </w:rPr>
  </w:style>
  <w:style w:type="paragraph" w:styleId="Intensvscitts">
    <w:name w:val="Intense Quote"/>
    <w:basedOn w:val="Parasts"/>
    <w:next w:val="Parasts"/>
    <w:link w:val="IntensvscittsRakstz"/>
    <w:uiPriority w:val="30"/>
    <w:qFormat/>
    <w:rsid w:val="000D3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D31D7"/>
    <w:rPr>
      <w:i/>
      <w:iCs/>
      <w:color w:val="2F5496" w:themeColor="accent1" w:themeShade="BF"/>
    </w:rPr>
  </w:style>
  <w:style w:type="character" w:styleId="Intensvaatsauce">
    <w:name w:val="Intense Reference"/>
    <w:basedOn w:val="Noklusjumarindkopasfonts"/>
    <w:uiPriority w:val="32"/>
    <w:qFormat/>
    <w:rsid w:val="000D31D7"/>
    <w:rPr>
      <w:b/>
      <w:bCs/>
      <w:smallCaps/>
      <w:color w:val="2F5496" w:themeColor="accent1" w:themeShade="BF"/>
      <w:spacing w:val="5"/>
    </w:rPr>
  </w:style>
  <w:style w:type="character" w:styleId="Hipersaite">
    <w:name w:val="Hyperlink"/>
    <w:basedOn w:val="Noklusjumarindkopasfonts"/>
    <w:uiPriority w:val="99"/>
    <w:semiHidden/>
    <w:unhideWhenUsed/>
    <w:rsid w:val="00E12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intiesa@livani.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2408</Words>
  <Characters>16448</Characters>
  <Application>Microsoft Office Word</Application>
  <DocSecurity>0</DocSecurity>
  <Lines>245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Rivča</dc:creator>
  <cp:keywords/>
  <dc:description/>
  <cp:lastModifiedBy>Sandra Rivča</cp:lastModifiedBy>
  <cp:revision>5</cp:revision>
  <dcterms:created xsi:type="dcterms:W3CDTF">2025-04-22T11:31:00Z</dcterms:created>
  <dcterms:modified xsi:type="dcterms:W3CDTF">2025-04-22T12:14:00Z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ef1a1198-dc7f-445d-a690-d614965863eb</vt:lpwstr>
  </property>
</Properties>
</file>