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7E9BC" w14:textId="77777777" w:rsidR="005A60F3" w:rsidRPr="0046746D" w:rsidRDefault="005A60F3" w:rsidP="005A60F3">
      <w:pPr>
        <w:spacing w:after="160"/>
        <w:jc w:val="center"/>
        <w:rPr>
          <w:sz w:val="20"/>
          <w:szCs w:val="20"/>
        </w:rPr>
      </w:pPr>
      <w:r w:rsidRPr="0046746D">
        <w:rPr>
          <w:noProof/>
          <w:sz w:val="20"/>
          <w:szCs w:val="20"/>
        </w:rPr>
        <w:drawing>
          <wp:inline distT="0" distB="0" distL="0" distR="0" wp14:anchorId="409242FF" wp14:editId="46211650">
            <wp:extent cx="704850" cy="800100"/>
            <wp:effectExtent l="0" t="0" r="0" b="0"/>
            <wp:docPr id="1667475202" name="Attēls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04850" cy="800100"/>
                    </a:xfrm>
                    <a:prstGeom prst="rect">
                      <a:avLst/>
                    </a:prstGeom>
                    <a:ln/>
                  </pic:spPr>
                </pic:pic>
              </a:graphicData>
            </a:graphic>
          </wp:inline>
        </w:drawing>
      </w:r>
    </w:p>
    <w:p w14:paraId="088ED82C" w14:textId="77777777" w:rsidR="005A60F3" w:rsidRPr="0046746D" w:rsidRDefault="005A60F3" w:rsidP="005A60F3">
      <w:pPr>
        <w:jc w:val="center"/>
        <w:rPr>
          <w:b/>
          <w:sz w:val="32"/>
          <w:szCs w:val="32"/>
        </w:rPr>
      </w:pPr>
      <w:r w:rsidRPr="0046746D">
        <w:rPr>
          <w:noProof/>
          <w:sz w:val="20"/>
          <w:szCs w:val="20"/>
        </w:rPr>
        <mc:AlternateContent>
          <mc:Choice Requires="wps">
            <w:drawing>
              <wp:anchor distT="4294967295" distB="4294967295" distL="114300" distR="114300" simplePos="0" relativeHeight="251659264" behindDoc="0" locked="0" layoutInCell="1" hidden="0" allowOverlap="1" wp14:anchorId="7E61E78E" wp14:editId="0CFD3364">
                <wp:simplePos x="0" y="0"/>
                <wp:positionH relativeFrom="margin">
                  <wp:align>center</wp:align>
                </wp:positionH>
                <wp:positionV relativeFrom="paragraph">
                  <wp:posOffset>246021</wp:posOffset>
                </wp:positionV>
                <wp:extent cx="6858000" cy="12700"/>
                <wp:effectExtent l="0" t="0" r="19050" b="25400"/>
                <wp:wrapNone/>
                <wp:docPr id="1203748847" name="Taisns bultveida savienotājs 2"/>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2EE1F2DE" id="_x0000_t32" coordsize="21600,21600" o:spt="32" o:oned="t" path="m,l21600,21600e" filled="f">
                <v:path arrowok="t" fillok="f" o:connecttype="none"/>
                <o:lock v:ext="edit" shapetype="t"/>
              </v:shapetype>
              <v:shape id="Taisns bultveida savienotājs 2" o:spid="_x0000_s1026" type="#_x0000_t32" style="position:absolute;margin-left:0;margin-top:19.35pt;width:540pt;height:1pt;z-index:251659264;visibility:visible;mso-wrap-style:square;mso-wrap-distance-left:9pt;mso-wrap-distance-top:-3e-5mm;mso-wrap-distance-right:9pt;mso-wrap-distance-bottom:-3e-5mm;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3+sMJ9oAAAAHAQAADwAA&#10;AGRycy9kb3ducmV2LnhtbEyPwU7DMBBE70j8g7VI3KgNVCSEbKoKCSSOLT30uI2XJBCvo9hN07/H&#10;PcFxZ0Yzb8vV7Ho18Rg6Lwj3CwOKpfa2kwZh9/l2l4MKkcRS74URzhxgVV1flVRYf5INT9vYqFQi&#10;oSCENsah0DrULTsKCz+wJO/Lj45iOsdG25FOqdz1+sGYJ+2ok7TQ0sCvLdc/26NDeA+ye143HNxy&#10;k50/9H7/PYlHvL2Z1y+gIs/xLwwX/IQOVWI6+KPYoHqE9EhEeMwzUBfX5CYpB4SlyUBXpf7PX/0C&#10;AAD//wMAUEsBAi0AFAAGAAgAAAAhALaDOJL+AAAA4QEAABMAAAAAAAAAAAAAAAAAAAAAAFtDb250&#10;ZW50X1R5cGVzXS54bWxQSwECLQAUAAYACAAAACEAOP0h/9YAAACUAQAACwAAAAAAAAAAAAAAAAAv&#10;AQAAX3JlbHMvLnJlbHNQSwECLQAUAAYACAAAACEAK4FQIMQBAACFAwAADgAAAAAAAAAAAAAAAAAu&#10;AgAAZHJzL2Uyb0RvYy54bWxQSwECLQAUAAYACAAAACEA3+sMJ9oAAAAHAQAADwAAAAAAAAAAAAAA&#10;AAAeBAAAZHJzL2Rvd25yZXYueG1sUEsFBgAAAAAEAAQA8wAAACUFAAAAAA==&#10;" strokecolor="#548dd4">
                <w10:wrap anchorx="margin"/>
              </v:shape>
            </w:pict>
          </mc:Fallback>
        </mc:AlternateContent>
      </w:r>
      <w:r w:rsidRPr="0046746D">
        <w:rPr>
          <w:b/>
          <w:sz w:val="32"/>
          <w:szCs w:val="32"/>
        </w:rPr>
        <w:t>LĪVĀNU NOVADA PAŠVALDĪBA</w:t>
      </w:r>
    </w:p>
    <w:p w14:paraId="6B07C1A9" w14:textId="77777777" w:rsidR="005A60F3" w:rsidRPr="0046746D" w:rsidRDefault="005A60F3" w:rsidP="005A60F3">
      <w:pPr>
        <w:jc w:val="center"/>
      </w:pPr>
      <w:r w:rsidRPr="0046746D">
        <w:t>Reģistrācijas Nr. 90000065595, Rīgas iela 77, Līvāni, Līvānu novads, LV – 5316,</w:t>
      </w:r>
    </w:p>
    <w:p w14:paraId="239D5AA5" w14:textId="77777777" w:rsidR="005A60F3" w:rsidRPr="0046746D" w:rsidRDefault="005A60F3" w:rsidP="005A60F3">
      <w:pPr>
        <w:jc w:val="center"/>
      </w:pPr>
      <w:r w:rsidRPr="0046746D">
        <w:t>tālr.: 65307250, e-pasts: pasts@livani.lv</w:t>
      </w:r>
    </w:p>
    <w:p w14:paraId="66AB354B" w14:textId="77777777" w:rsidR="005A60F3" w:rsidRDefault="005A60F3" w:rsidP="005A60F3">
      <w:pPr>
        <w:rPr>
          <w:b/>
          <w:color w:val="000000"/>
        </w:rPr>
      </w:pPr>
    </w:p>
    <w:p w14:paraId="512877C7" w14:textId="77777777" w:rsidR="005A60F3" w:rsidRPr="00512BA5" w:rsidRDefault="005A60F3" w:rsidP="005A60F3">
      <w:pPr>
        <w:jc w:val="center"/>
        <w:rPr>
          <w:b/>
          <w:bCs/>
        </w:rPr>
      </w:pPr>
      <w:r w:rsidRPr="00512BA5">
        <w:rPr>
          <w:b/>
          <w:bCs/>
        </w:rPr>
        <w:t>Līvānu novada pašvaldības domes __________ saistošo noteikumu Nr. _______ "Par pašvaldības atbalstu sporta veicināšanai Līvānu novadā"</w:t>
      </w:r>
      <w:r w:rsidRPr="00512BA5">
        <w:rPr>
          <w:b/>
          <w:bCs/>
        </w:rPr>
        <w:br/>
        <w:t>paskaidrojuma raksts</w:t>
      </w:r>
    </w:p>
    <w:p w14:paraId="1887FEF6" w14:textId="77777777" w:rsidR="005A60F3" w:rsidRPr="00512BA5" w:rsidRDefault="005A60F3" w:rsidP="005A60F3">
      <w:pPr>
        <w:spacing w:after="160" w:line="259" w:lineRule="auto"/>
        <w:rPr>
          <w:rFonts w:eastAsia="Calibri"/>
          <w:bCs/>
          <w:kern w:val="2"/>
          <w:lang w:eastAsia="en-US"/>
          <w14:ligatures w14:val="standardContextual"/>
        </w:rPr>
      </w:pPr>
    </w:p>
    <w:tbl>
      <w:tblPr>
        <w:tblStyle w:val="Reatabula2"/>
        <w:tblW w:w="0" w:type="auto"/>
        <w:tblLook w:val="04A0" w:firstRow="1" w:lastRow="0" w:firstColumn="1" w:lastColumn="0" w:noHBand="0" w:noVBand="1"/>
      </w:tblPr>
      <w:tblGrid>
        <w:gridCol w:w="2356"/>
        <w:gridCol w:w="5940"/>
      </w:tblGrid>
      <w:tr w:rsidR="005A60F3" w:rsidRPr="00512BA5" w14:paraId="2F38EFBF" w14:textId="77777777" w:rsidTr="00474026">
        <w:trPr>
          <w:trHeight w:val="653"/>
        </w:trPr>
        <w:tc>
          <w:tcPr>
            <w:tcW w:w="2405" w:type="dxa"/>
            <w:shd w:val="pct15" w:color="auto" w:fill="auto"/>
          </w:tcPr>
          <w:p w14:paraId="344CEBE6" w14:textId="77777777" w:rsidR="005A60F3" w:rsidRPr="00512BA5" w:rsidRDefault="005A60F3" w:rsidP="00474026">
            <w:pPr>
              <w:jc w:val="center"/>
              <w:rPr>
                <w:rFonts w:ascii="Times New Roman" w:hAnsi="Times New Roman"/>
                <w:b/>
                <w:sz w:val="24"/>
              </w:rPr>
            </w:pPr>
            <w:r w:rsidRPr="00512BA5">
              <w:rPr>
                <w:rFonts w:ascii="Times New Roman" w:hAnsi="Times New Roman"/>
                <w:b/>
                <w:sz w:val="24"/>
              </w:rPr>
              <w:t>Paskaidrojuma raksta sadaļa</w:t>
            </w:r>
          </w:p>
        </w:tc>
        <w:tc>
          <w:tcPr>
            <w:tcW w:w="6417" w:type="dxa"/>
            <w:shd w:val="pct15" w:color="auto" w:fill="auto"/>
          </w:tcPr>
          <w:p w14:paraId="0602A9CE" w14:textId="77777777" w:rsidR="005A60F3" w:rsidRPr="00512BA5" w:rsidRDefault="005A60F3" w:rsidP="00474026">
            <w:pPr>
              <w:jc w:val="center"/>
              <w:rPr>
                <w:rFonts w:ascii="Times New Roman" w:hAnsi="Times New Roman"/>
                <w:b/>
                <w:sz w:val="24"/>
              </w:rPr>
            </w:pPr>
            <w:r w:rsidRPr="00512BA5">
              <w:rPr>
                <w:rFonts w:ascii="Times New Roman" w:hAnsi="Times New Roman"/>
                <w:b/>
                <w:sz w:val="24"/>
              </w:rPr>
              <w:t>Norādāmā informācija</w:t>
            </w:r>
          </w:p>
        </w:tc>
      </w:tr>
      <w:tr w:rsidR="005A60F3" w:rsidRPr="00512BA5" w14:paraId="5DFF8D07" w14:textId="77777777" w:rsidTr="00474026">
        <w:tc>
          <w:tcPr>
            <w:tcW w:w="2405" w:type="dxa"/>
          </w:tcPr>
          <w:p w14:paraId="365236CC" w14:textId="77777777" w:rsidR="005A60F3" w:rsidRPr="00512BA5" w:rsidRDefault="005A60F3" w:rsidP="00474026">
            <w:pPr>
              <w:jc w:val="both"/>
              <w:rPr>
                <w:rFonts w:ascii="Times New Roman" w:hAnsi="Times New Roman"/>
                <w:sz w:val="24"/>
              </w:rPr>
            </w:pPr>
            <w:r w:rsidRPr="00512BA5">
              <w:rPr>
                <w:rFonts w:ascii="Times New Roman" w:hAnsi="Times New Roman"/>
                <w:sz w:val="24"/>
              </w:rPr>
              <w:t>1. Mērķis un nepieciešamības</w:t>
            </w:r>
          </w:p>
          <w:p w14:paraId="0B0D03BC" w14:textId="77777777" w:rsidR="005A60F3" w:rsidRPr="00512BA5" w:rsidRDefault="005A60F3" w:rsidP="00474026">
            <w:pPr>
              <w:jc w:val="both"/>
              <w:rPr>
                <w:rFonts w:ascii="Times New Roman" w:hAnsi="Times New Roman"/>
                <w:b/>
                <w:sz w:val="24"/>
              </w:rPr>
            </w:pPr>
            <w:r w:rsidRPr="00512BA5">
              <w:rPr>
                <w:rFonts w:ascii="Times New Roman" w:hAnsi="Times New Roman"/>
                <w:sz w:val="24"/>
              </w:rPr>
              <w:t>pamatojums</w:t>
            </w:r>
          </w:p>
        </w:tc>
        <w:tc>
          <w:tcPr>
            <w:tcW w:w="6417" w:type="dxa"/>
          </w:tcPr>
          <w:p w14:paraId="0D54EBB0" w14:textId="77777777" w:rsidR="005A60F3" w:rsidRPr="00322F51" w:rsidRDefault="005A60F3" w:rsidP="00474026">
            <w:pPr>
              <w:pStyle w:val="Sarakstarindkopa"/>
              <w:numPr>
                <w:ilvl w:val="1"/>
                <w:numId w:val="2"/>
              </w:numPr>
              <w:tabs>
                <w:tab w:val="left" w:pos="361"/>
              </w:tabs>
              <w:ind w:left="-64" w:firstLine="0"/>
              <w:jc w:val="both"/>
              <w:rPr>
                <w:rFonts w:ascii="Times New Roman" w:hAnsi="Times New Roman"/>
                <w:sz w:val="24"/>
              </w:rPr>
            </w:pPr>
            <w:r w:rsidRPr="00322F51">
              <w:rPr>
                <w:rFonts w:ascii="Times New Roman" w:hAnsi="Times New Roman"/>
                <w:sz w:val="24"/>
              </w:rPr>
              <w:t>Saistošo noteikumu mērķis ir veicināt Līvānu novada iedzīvotāju iesaistīšanos sportiskās aktivitātēs, veselīgu dzīvesveidu, sportistu rezultātu izaugsmi, popularizēt sporta veidus, veicināt sporta sacensību organizēšanu Līvānu novadā, kā arī sekmēt sporta organizāciju veidošanos un darbību.</w:t>
            </w:r>
          </w:p>
          <w:p w14:paraId="0DE26EBF" w14:textId="77777777" w:rsidR="005A60F3" w:rsidRPr="00512BA5" w:rsidRDefault="005A60F3" w:rsidP="00474026">
            <w:pPr>
              <w:contextualSpacing/>
              <w:jc w:val="both"/>
              <w:rPr>
                <w:rFonts w:ascii="Times New Roman" w:hAnsi="Times New Roman"/>
                <w:sz w:val="24"/>
              </w:rPr>
            </w:pPr>
          </w:p>
          <w:p w14:paraId="42BF4484" w14:textId="77777777" w:rsidR="005A60F3" w:rsidRPr="00322F51" w:rsidRDefault="005A60F3" w:rsidP="00474026">
            <w:pPr>
              <w:pStyle w:val="Sarakstarindkopa"/>
              <w:numPr>
                <w:ilvl w:val="1"/>
                <w:numId w:val="2"/>
              </w:numPr>
              <w:tabs>
                <w:tab w:val="left" w:pos="361"/>
              </w:tabs>
              <w:ind w:left="-64" w:firstLine="0"/>
              <w:jc w:val="both"/>
              <w:rPr>
                <w:rFonts w:ascii="Times New Roman" w:hAnsi="Times New Roman"/>
                <w:sz w:val="24"/>
              </w:rPr>
            </w:pPr>
            <w:r w:rsidRPr="00322F51">
              <w:rPr>
                <w:rFonts w:ascii="Times New Roman" w:hAnsi="Times New Roman"/>
                <w:sz w:val="24"/>
              </w:rPr>
              <w:t>Pašvaldību likuma 4. panta pirmās daļas 7. punkts noteic pašvaldības autonomo funkciju veicināt sporta attīstību, tostarp uzturēt un attīstīt pašvaldības sporta bāzes, atbalstīt sportistu un sporta klubu, arī profesionālo sporta klubu, darbību un sniegt atbalstu sporta pasākumu organizēšanā, bet tā paša likuma 5. panta pirmā daļa paredz, ka pašvaldība savas administratīvās teritorijas iedzīvotāju interesēs var brīvprātīgi īstenot iniciatīvas ikvienā jautājumā, ja tas nav citu institūciju kompetencē un šādu darbību neierobežo citi likumi.</w:t>
            </w:r>
          </w:p>
          <w:p w14:paraId="3EB45F75" w14:textId="77777777" w:rsidR="005A60F3" w:rsidRPr="00512BA5" w:rsidRDefault="005A60F3" w:rsidP="00474026">
            <w:pPr>
              <w:contextualSpacing/>
              <w:jc w:val="both"/>
              <w:rPr>
                <w:rFonts w:ascii="Times New Roman" w:hAnsi="Times New Roman"/>
                <w:sz w:val="24"/>
              </w:rPr>
            </w:pPr>
          </w:p>
          <w:p w14:paraId="28BEEDBD" w14:textId="77777777" w:rsidR="005A60F3" w:rsidRPr="00322F51" w:rsidRDefault="005A60F3" w:rsidP="00474026">
            <w:pPr>
              <w:pStyle w:val="Sarakstarindkopa"/>
              <w:numPr>
                <w:ilvl w:val="1"/>
                <w:numId w:val="2"/>
              </w:numPr>
              <w:tabs>
                <w:tab w:val="left" w:pos="361"/>
              </w:tabs>
              <w:ind w:left="-64" w:firstLine="0"/>
              <w:jc w:val="both"/>
              <w:rPr>
                <w:rFonts w:ascii="Times New Roman" w:hAnsi="Times New Roman"/>
                <w:sz w:val="24"/>
              </w:rPr>
            </w:pPr>
            <w:r w:rsidRPr="00322F51">
              <w:rPr>
                <w:rFonts w:ascii="Times New Roman" w:hAnsi="Times New Roman"/>
                <w:sz w:val="24"/>
              </w:rPr>
              <w:t>Sporta likuma 7. panta pirmās daļas 3., 5. un 6. punkts nosaka, ka pašvaldības, veicinot veselīgu dzīvesveidu un sporta attīstību savā administratīvajā teritorijā, ir tiesīgas sekmēt sporta organizāciju, tajā skaitā sporta klubu, veidošanos un darbību; finansēt sporta sacensības; finansēt licencētas sporta izglītības programmas un sporta pasākumus, ko īsteno to administratīvajā teritorijā esošie sporta klubi.</w:t>
            </w:r>
          </w:p>
          <w:p w14:paraId="3FB32428" w14:textId="77777777" w:rsidR="005A60F3" w:rsidRPr="00512BA5" w:rsidRDefault="005A60F3" w:rsidP="00474026">
            <w:pPr>
              <w:contextualSpacing/>
              <w:jc w:val="both"/>
              <w:rPr>
                <w:rFonts w:ascii="Times New Roman" w:hAnsi="Times New Roman"/>
                <w:sz w:val="24"/>
              </w:rPr>
            </w:pPr>
          </w:p>
          <w:p w14:paraId="567EEAB9" w14:textId="77777777" w:rsidR="005A60F3" w:rsidRPr="005453CE" w:rsidRDefault="005A60F3" w:rsidP="00474026">
            <w:pPr>
              <w:pStyle w:val="Sarakstarindkopa"/>
              <w:numPr>
                <w:ilvl w:val="1"/>
                <w:numId w:val="2"/>
              </w:numPr>
              <w:tabs>
                <w:tab w:val="left" w:pos="361"/>
              </w:tabs>
              <w:ind w:left="-64" w:firstLine="0"/>
              <w:jc w:val="both"/>
            </w:pPr>
            <w:r w:rsidRPr="00322F51">
              <w:rPr>
                <w:rFonts w:ascii="Times New Roman" w:hAnsi="Times New Roman"/>
                <w:sz w:val="24"/>
              </w:rPr>
              <w:t>Pašvaldības pilnvarojums izstrādāt saistošos noteikumus izriet no Pašvaldību likuma 44. panta otrās daļas, kas noteic, ka dome var izdot saistošos noteikumus, lai nodrošinātu pašvaldības autonomo funkciju un brīvprātīgo iniciatīvu izpildi, ievērojot likumos vai Ministru kabineta noteikumos paredzēto funkciju izpildes kārtību.</w:t>
            </w:r>
          </w:p>
        </w:tc>
      </w:tr>
      <w:tr w:rsidR="005A60F3" w:rsidRPr="00512BA5" w14:paraId="609AFF23" w14:textId="77777777" w:rsidTr="00474026">
        <w:tc>
          <w:tcPr>
            <w:tcW w:w="2405" w:type="dxa"/>
          </w:tcPr>
          <w:p w14:paraId="2FD22CDF" w14:textId="77777777" w:rsidR="005A60F3" w:rsidRPr="00512BA5" w:rsidRDefault="005A60F3" w:rsidP="00474026">
            <w:pPr>
              <w:jc w:val="both"/>
              <w:rPr>
                <w:rFonts w:ascii="Times New Roman" w:hAnsi="Times New Roman"/>
                <w:sz w:val="24"/>
              </w:rPr>
            </w:pPr>
            <w:r w:rsidRPr="00512BA5">
              <w:rPr>
                <w:rFonts w:ascii="Times New Roman" w:hAnsi="Times New Roman"/>
                <w:sz w:val="24"/>
              </w:rPr>
              <w:lastRenderedPageBreak/>
              <w:t>2. Fiskālā ietekme uz pašvaldības budžetu</w:t>
            </w:r>
          </w:p>
        </w:tc>
        <w:tc>
          <w:tcPr>
            <w:tcW w:w="6417" w:type="dxa"/>
          </w:tcPr>
          <w:p w14:paraId="2D102CFF"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2.1. </w:t>
            </w:r>
            <w:r w:rsidRPr="00512BA5">
              <w:rPr>
                <w:rFonts w:ascii="Times New Roman" w:hAnsi="Times New Roman"/>
                <w:sz w:val="24"/>
              </w:rPr>
              <w:t>Pašvaldības finansiāla atbalsta kopējo summu Dome nosaka kārtējā gada budžetā. Palielināta ietekme uz budžetu nav plānota, jo saistošie noteikumi aizstāj</w:t>
            </w:r>
            <w:r>
              <w:rPr>
                <w:rFonts w:ascii="Times New Roman" w:hAnsi="Times New Roman"/>
                <w:sz w:val="24"/>
              </w:rPr>
              <w:t xml:space="preserve"> iepriekšējos</w:t>
            </w:r>
            <w:r w:rsidRPr="00512BA5">
              <w:rPr>
                <w:rFonts w:ascii="Times New Roman" w:hAnsi="Times New Roman"/>
                <w:sz w:val="24"/>
              </w:rPr>
              <w:t xml:space="preserve"> saistošos noteikumus, kas nosaka kārtību, kādā pašvaldības dome piešķir </w:t>
            </w:r>
            <w:r>
              <w:rPr>
                <w:rFonts w:ascii="Times New Roman" w:hAnsi="Times New Roman"/>
                <w:sz w:val="24"/>
              </w:rPr>
              <w:t>Līvānu</w:t>
            </w:r>
            <w:r w:rsidRPr="00512BA5">
              <w:rPr>
                <w:rFonts w:ascii="Times New Roman" w:hAnsi="Times New Roman"/>
                <w:sz w:val="24"/>
              </w:rPr>
              <w:t xml:space="preserve"> novada pašvaldības finansiālu atbalstu sporta organizāciju darbības nodrošināšanai, sportistu dalībai sporta sacensībās un treniņnometnēs, atbalstu amatieru komandām un fizisko personu apvienībām veselīga dzīvesveida veicināšanai, un sporta sacensību organizēšanai</w:t>
            </w:r>
            <w:r>
              <w:rPr>
                <w:rFonts w:ascii="Times New Roman" w:hAnsi="Times New Roman"/>
                <w:sz w:val="24"/>
              </w:rPr>
              <w:t xml:space="preserve"> Līvānu</w:t>
            </w:r>
            <w:r w:rsidRPr="00512BA5">
              <w:rPr>
                <w:rFonts w:ascii="Times New Roman" w:hAnsi="Times New Roman"/>
                <w:sz w:val="24"/>
              </w:rPr>
              <w:t xml:space="preserve"> novada administratīvajā teritorijā.</w:t>
            </w:r>
          </w:p>
        </w:tc>
      </w:tr>
      <w:tr w:rsidR="005A60F3" w:rsidRPr="00512BA5" w14:paraId="28ADD88F" w14:textId="77777777" w:rsidTr="00474026">
        <w:tc>
          <w:tcPr>
            <w:tcW w:w="2405" w:type="dxa"/>
          </w:tcPr>
          <w:p w14:paraId="353ACD03" w14:textId="77777777" w:rsidR="005A60F3" w:rsidRPr="00512BA5" w:rsidRDefault="005A60F3" w:rsidP="00474026">
            <w:pPr>
              <w:jc w:val="both"/>
              <w:rPr>
                <w:rFonts w:ascii="Times New Roman" w:hAnsi="Times New Roman"/>
                <w:sz w:val="24"/>
              </w:rPr>
            </w:pPr>
            <w:r w:rsidRPr="00512BA5">
              <w:rPr>
                <w:rFonts w:ascii="Times New Roman" w:hAnsi="Times New Roman"/>
                <w:sz w:val="24"/>
              </w:rPr>
              <w:t>3. Sociālā ietekme, ietekme uz vidi, iedzīvotāju veselību, uzņēmējdarbības vidi</w:t>
            </w:r>
          </w:p>
          <w:p w14:paraId="2BD7CA20" w14:textId="77777777" w:rsidR="005A60F3" w:rsidRPr="00512BA5" w:rsidRDefault="005A60F3" w:rsidP="00474026">
            <w:pPr>
              <w:jc w:val="both"/>
              <w:rPr>
                <w:rFonts w:ascii="Times New Roman" w:hAnsi="Times New Roman"/>
                <w:sz w:val="24"/>
              </w:rPr>
            </w:pPr>
            <w:r w:rsidRPr="00512BA5">
              <w:rPr>
                <w:rFonts w:ascii="Times New Roman" w:hAnsi="Times New Roman"/>
                <w:sz w:val="24"/>
              </w:rPr>
              <w:t>pašvaldības teritorijā, kā arī plānotā regulējuma ietekme uz konkurenci</w:t>
            </w:r>
          </w:p>
        </w:tc>
        <w:tc>
          <w:tcPr>
            <w:tcW w:w="6417" w:type="dxa"/>
          </w:tcPr>
          <w:p w14:paraId="107205E5"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3.1. </w:t>
            </w:r>
            <w:r w:rsidRPr="00512BA5">
              <w:rPr>
                <w:rFonts w:ascii="Times New Roman" w:hAnsi="Times New Roman"/>
                <w:sz w:val="24"/>
              </w:rPr>
              <w:t xml:space="preserve">Sabiedrības </w:t>
            </w:r>
            <w:proofErr w:type="spellStart"/>
            <w:r w:rsidRPr="00512BA5">
              <w:rPr>
                <w:rFonts w:ascii="Times New Roman" w:hAnsi="Times New Roman"/>
                <w:sz w:val="24"/>
              </w:rPr>
              <w:t>mēr</w:t>
            </w:r>
            <w:r>
              <w:rPr>
                <w:rFonts w:ascii="Times New Roman" w:hAnsi="Times New Roman"/>
                <w:sz w:val="24"/>
              </w:rPr>
              <w:t>ķ</w:t>
            </w:r>
            <w:r w:rsidRPr="00512BA5">
              <w:rPr>
                <w:rFonts w:ascii="Times New Roman" w:hAnsi="Times New Roman"/>
                <w:sz w:val="24"/>
              </w:rPr>
              <w:t>grupas</w:t>
            </w:r>
            <w:proofErr w:type="spellEnd"/>
            <w:r w:rsidRPr="00512BA5">
              <w:rPr>
                <w:rFonts w:ascii="Times New Roman" w:hAnsi="Times New Roman"/>
                <w:sz w:val="24"/>
              </w:rPr>
              <w:t xml:space="preserve">, uz kurām attiecināms </w:t>
            </w:r>
            <w:r>
              <w:rPr>
                <w:rFonts w:ascii="Times New Roman" w:hAnsi="Times New Roman"/>
                <w:sz w:val="24"/>
              </w:rPr>
              <w:t>s</w:t>
            </w:r>
            <w:r w:rsidRPr="00512BA5">
              <w:rPr>
                <w:rFonts w:ascii="Times New Roman" w:hAnsi="Times New Roman"/>
                <w:sz w:val="24"/>
              </w:rPr>
              <w:t xml:space="preserve">aistošo noteikumu tiesiskais regulējums, ir fiziskas personas, kuras nodarbojas ar sportu un fiziskām aktivitātēm veicinot veselīgu dzīvesveidu, un </w:t>
            </w:r>
            <w:r>
              <w:rPr>
                <w:rFonts w:ascii="Times New Roman" w:hAnsi="Times New Roman"/>
                <w:sz w:val="24"/>
              </w:rPr>
              <w:t>s</w:t>
            </w:r>
            <w:r w:rsidRPr="00512BA5">
              <w:rPr>
                <w:rFonts w:ascii="Times New Roman" w:hAnsi="Times New Roman"/>
                <w:sz w:val="24"/>
              </w:rPr>
              <w:t>aistošo noteikumu nosacījumiem atbilstošas juridiskas personas, kuras nodrošina sporta aktivitātes</w:t>
            </w:r>
            <w:r>
              <w:rPr>
                <w:rFonts w:ascii="Times New Roman" w:hAnsi="Times New Roman"/>
                <w:sz w:val="24"/>
              </w:rPr>
              <w:t xml:space="preserve"> Līvānu</w:t>
            </w:r>
            <w:r w:rsidRPr="00512BA5">
              <w:rPr>
                <w:rFonts w:ascii="Times New Roman" w:hAnsi="Times New Roman"/>
                <w:sz w:val="24"/>
              </w:rPr>
              <w:t xml:space="preserve"> novada administratīvajā teritorijā deklarētām fiziskām personām, kā arī juridiskas personas, kuras organizē pašvaldības atbalstītas sporta sacensības.</w:t>
            </w:r>
          </w:p>
          <w:p w14:paraId="0158D49F" w14:textId="77777777" w:rsidR="005A60F3" w:rsidRPr="00512BA5" w:rsidRDefault="005A60F3" w:rsidP="00474026">
            <w:pPr>
              <w:contextualSpacing/>
              <w:jc w:val="both"/>
              <w:rPr>
                <w:rFonts w:ascii="Times New Roman" w:hAnsi="Times New Roman"/>
                <w:sz w:val="24"/>
              </w:rPr>
            </w:pPr>
          </w:p>
          <w:p w14:paraId="47E1949A"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3.2. </w:t>
            </w:r>
            <w:r w:rsidRPr="00512BA5">
              <w:rPr>
                <w:rFonts w:ascii="Times New Roman" w:hAnsi="Times New Roman"/>
                <w:sz w:val="24"/>
              </w:rPr>
              <w:t xml:space="preserve">Saistošo noteikumu tiesiskais regulējums labvēlīgi ietekmēs </w:t>
            </w:r>
            <w:proofErr w:type="spellStart"/>
            <w:r w:rsidRPr="00512BA5">
              <w:rPr>
                <w:rFonts w:ascii="Times New Roman" w:hAnsi="Times New Roman"/>
                <w:sz w:val="24"/>
              </w:rPr>
              <w:t>mērķgrupas</w:t>
            </w:r>
            <w:proofErr w:type="spellEnd"/>
            <w:r w:rsidRPr="00512BA5">
              <w:rPr>
                <w:rFonts w:ascii="Times New Roman" w:hAnsi="Times New Roman"/>
                <w:sz w:val="24"/>
              </w:rPr>
              <w:t>, jo to ieviešanai vienlaikus tiek plānota labvēlīga ietekme gan uz iedzīvotāju veselīga dzīvesveida, gan sporta attīstības veicināšanu.</w:t>
            </w:r>
          </w:p>
          <w:p w14:paraId="340EC4AB" w14:textId="77777777" w:rsidR="005A60F3" w:rsidRPr="00512BA5" w:rsidRDefault="005A60F3" w:rsidP="00474026">
            <w:pPr>
              <w:contextualSpacing/>
              <w:jc w:val="both"/>
              <w:rPr>
                <w:rFonts w:ascii="Times New Roman" w:hAnsi="Times New Roman"/>
                <w:sz w:val="24"/>
              </w:rPr>
            </w:pPr>
          </w:p>
          <w:p w14:paraId="359BA891"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3.3. </w:t>
            </w:r>
            <w:r w:rsidRPr="00512BA5">
              <w:rPr>
                <w:rFonts w:ascii="Times New Roman" w:hAnsi="Times New Roman"/>
                <w:sz w:val="24"/>
              </w:rPr>
              <w:t xml:space="preserve">Noteikumu tiesiskais regulējums neradīs </w:t>
            </w:r>
            <w:proofErr w:type="spellStart"/>
            <w:r w:rsidRPr="00512BA5">
              <w:rPr>
                <w:rFonts w:ascii="Times New Roman" w:hAnsi="Times New Roman"/>
                <w:sz w:val="24"/>
              </w:rPr>
              <w:t>mērķgrupām</w:t>
            </w:r>
            <w:proofErr w:type="spellEnd"/>
            <w:r w:rsidRPr="00512BA5">
              <w:rPr>
                <w:rFonts w:ascii="Times New Roman" w:hAnsi="Times New Roman"/>
                <w:sz w:val="24"/>
              </w:rPr>
              <w:t xml:space="preserve"> jaunas tiesības, bet nodrošinās vienlīdzīgas iespējas saņemt </w:t>
            </w:r>
            <w:r>
              <w:rPr>
                <w:rFonts w:ascii="Times New Roman" w:hAnsi="Times New Roman"/>
                <w:sz w:val="24"/>
              </w:rPr>
              <w:t>p</w:t>
            </w:r>
            <w:r w:rsidRPr="00512BA5">
              <w:rPr>
                <w:rFonts w:ascii="Times New Roman" w:hAnsi="Times New Roman"/>
                <w:sz w:val="24"/>
              </w:rPr>
              <w:t>ašvaldības finansiālo atbalstu sporta aktivitāšu realizācijai, un veicinās veselīgu dzīvesveidu un paaugstinās novada iedzīvotāju dzīves kvalitāti.</w:t>
            </w:r>
          </w:p>
          <w:p w14:paraId="2F9E915A" w14:textId="77777777" w:rsidR="005A60F3" w:rsidRPr="00512BA5" w:rsidRDefault="005A60F3" w:rsidP="00474026">
            <w:pPr>
              <w:contextualSpacing/>
              <w:jc w:val="both"/>
              <w:rPr>
                <w:rFonts w:ascii="Times New Roman" w:hAnsi="Times New Roman"/>
                <w:sz w:val="24"/>
              </w:rPr>
            </w:pPr>
          </w:p>
          <w:p w14:paraId="713AF8E4"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3.4. </w:t>
            </w:r>
            <w:r w:rsidRPr="00512BA5">
              <w:rPr>
                <w:rFonts w:ascii="Times New Roman" w:hAnsi="Times New Roman"/>
                <w:sz w:val="24"/>
              </w:rPr>
              <w:t>Ietekme uz vidi – nav paredzēta.</w:t>
            </w:r>
          </w:p>
          <w:p w14:paraId="7E6B42CD" w14:textId="77777777" w:rsidR="005A60F3" w:rsidRPr="00512BA5" w:rsidRDefault="005A60F3" w:rsidP="00474026">
            <w:pPr>
              <w:contextualSpacing/>
              <w:jc w:val="both"/>
              <w:rPr>
                <w:rFonts w:ascii="Times New Roman" w:hAnsi="Times New Roman"/>
                <w:sz w:val="24"/>
              </w:rPr>
            </w:pPr>
          </w:p>
          <w:p w14:paraId="73EEBBF7" w14:textId="77777777" w:rsidR="005A60F3" w:rsidRPr="00512BA5" w:rsidRDefault="005A60F3" w:rsidP="00474026">
            <w:pPr>
              <w:contextualSpacing/>
              <w:jc w:val="both"/>
              <w:rPr>
                <w:rFonts w:ascii="Times New Roman" w:hAnsi="Times New Roman"/>
                <w:sz w:val="24"/>
              </w:rPr>
            </w:pPr>
            <w:r>
              <w:rPr>
                <w:rFonts w:ascii="Times New Roman" w:hAnsi="Times New Roman"/>
                <w:sz w:val="24"/>
              </w:rPr>
              <w:t xml:space="preserve">3.5. </w:t>
            </w:r>
            <w:r w:rsidRPr="00512BA5">
              <w:rPr>
                <w:rFonts w:ascii="Times New Roman" w:hAnsi="Times New Roman"/>
                <w:sz w:val="24"/>
              </w:rPr>
              <w:t xml:space="preserve">Ietekme uz uzņēmējdarbības vidi pašvaldības teritorijā – ar </w:t>
            </w:r>
            <w:r>
              <w:rPr>
                <w:rFonts w:ascii="Times New Roman" w:hAnsi="Times New Roman"/>
                <w:sz w:val="24"/>
              </w:rPr>
              <w:t>s</w:t>
            </w:r>
            <w:r w:rsidRPr="00512BA5">
              <w:rPr>
                <w:rFonts w:ascii="Times New Roman" w:hAnsi="Times New Roman"/>
                <w:sz w:val="24"/>
              </w:rPr>
              <w:t>aistošajiem noteikumiem tiks veicinātas uzņēmējdarbības aktivitātes, jaunu sporta klubu veidošanās un esošo sporta klubu attīstība un izaugsme, kā arī paaugstināta to konkurētspēja.</w:t>
            </w:r>
          </w:p>
        </w:tc>
      </w:tr>
      <w:tr w:rsidR="005A60F3" w:rsidRPr="00512BA5" w14:paraId="5040FE9C" w14:textId="77777777" w:rsidTr="00474026">
        <w:tc>
          <w:tcPr>
            <w:tcW w:w="2405" w:type="dxa"/>
          </w:tcPr>
          <w:p w14:paraId="3059BA18" w14:textId="77777777" w:rsidR="005A60F3" w:rsidRPr="00512BA5" w:rsidRDefault="005A60F3" w:rsidP="00474026">
            <w:pPr>
              <w:jc w:val="both"/>
              <w:rPr>
                <w:rFonts w:ascii="Times New Roman" w:hAnsi="Times New Roman"/>
                <w:sz w:val="24"/>
              </w:rPr>
            </w:pPr>
            <w:r w:rsidRPr="00512BA5">
              <w:rPr>
                <w:rFonts w:ascii="Times New Roman" w:hAnsi="Times New Roman"/>
                <w:sz w:val="24"/>
              </w:rPr>
              <w:t>4. Ietekme uz administratīvajām procedūrām un to izmaksām</w:t>
            </w:r>
          </w:p>
        </w:tc>
        <w:tc>
          <w:tcPr>
            <w:tcW w:w="6417" w:type="dxa"/>
          </w:tcPr>
          <w:p w14:paraId="7D4503E1" w14:textId="77777777" w:rsidR="005A60F3" w:rsidRPr="009F1D76" w:rsidRDefault="005A60F3" w:rsidP="00474026">
            <w:pPr>
              <w:rPr>
                <w:rFonts w:ascii="Times New Roman" w:hAnsi="Times New Roman"/>
                <w:sz w:val="24"/>
              </w:rPr>
            </w:pPr>
            <w:r w:rsidRPr="009F1D76">
              <w:rPr>
                <w:rFonts w:ascii="Times New Roman" w:hAnsi="Times New Roman"/>
                <w:sz w:val="24"/>
              </w:rPr>
              <w:t>4.1. Iesniegumus "Pašvaldības finansiālā atbalsta saņemšanai" iesniedz Līvānu novada Kultūras, tūrisma un sporta pārvaldei.</w:t>
            </w:r>
          </w:p>
          <w:p w14:paraId="5BB2D4C9" w14:textId="77777777" w:rsidR="005A60F3" w:rsidRPr="009F1D76" w:rsidRDefault="005A60F3" w:rsidP="00474026">
            <w:pPr>
              <w:rPr>
                <w:rFonts w:ascii="Times New Roman" w:hAnsi="Times New Roman"/>
                <w:sz w:val="24"/>
              </w:rPr>
            </w:pPr>
            <w:r w:rsidRPr="009F1D76">
              <w:rPr>
                <w:rFonts w:ascii="Times New Roman" w:hAnsi="Times New Roman"/>
                <w:sz w:val="24"/>
              </w:rPr>
              <w:t>4.2. Iesniegumu un tam pievienotos dokumentus izskata un atbilstību noteikumiem izvērtē Līvānu novada Kultūras, tūrisma un sporta pārvalde.</w:t>
            </w:r>
          </w:p>
          <w:p w14:paraId="7699FB35" w14:textId="77777777" w:rsidR="005A60F3" w:rsidRPr="009F1D76" w:rsidRDefault="005A60F3" w:rsidP="00474026">
            <w:pPr>
              <w:pStyle w:val="Sarakstarindkopa"/>
              <w:numPr>
                <w:ilvl w:val="1"/>
                <w:numId w:val="1"/>
              </w:numPr>
              <w:tabs>
                <w:tab w:val="left" w:pos="361"/>
              </w:tabs>
              <w:ind w:left="0" w:firstLine="0"/>
              <w:rPr>
                <w:rFonts w:ascii="Times New Roman" w:hAnsi="Times New Roman"/>
                <w:sz w:val="24"/>
              </w:rPr>
            </w:pPr>
            <w:r>
              <w:rPr>
                <w:rFonts w:ascii="Times New Roman" w:hAnsi="Times New Roman"/>
                <w:sz w:val="24"/>
              </w:rPr>
              <w:t xml:space="preserve"> </w:t>
            </w:r>
            <w:r w:rsidRPr="009F1D76">
              <w:rPr>
                <w:rFonts w:ascii="Times New Roman" w:hAnsi="Times New Roman"/>
                <w:sz w:val="24"/>
              </w:rPr>
              <w:t>Lēmumu par finansiāla atbalsta piešķiršanu pieņem Līvānu novada pašvaldības dome, apstiprinot kārtējā gada pašvaldības pamatbudžetu.</w:t>
            </w:r>
          </w:p>
          <w:p w14:paraId="0C471871" w14:textId="77777777" w:rsidR="005A60F3" w:rsidRPr="009F1D76" w:rsidRDefault="005A60F3" w:rsidP="00474026">
            <w:pPr>
              <w:pStyle w:val="Sarakstarindkopa"/>
              <w:numPr>
                <w:ilvl w:val="1"/>
                <w:numId w:val="1"/>
              </w:numPr>
              <w:tabs>
                <w:tab w:val="left" w:pos="361"/>
              </w:tabs>
              <w:ind w:left="78" w:hanging="78"/>
              <w:rPr>
                <w:rFonts w:ascii="Times New Roman" w:hAnsi="Times New Roman"/>
                <w:sz w:val="24"/>
              </w:rPr>
            </w:pPr>
            <w:r>
              <w:rPr>
                <w:rFonts w:ascii="Times New Roman" w:hAnsi="Times New Roman"/>
                <w:sz w:val="24"/>
              </w:rPr>
              <w:t xml:space="preserve"> </w:t>
            </w:r>
            <w:r w:rsidRPr="009F1D76">
              <w:rPr>
                <w:rFonts w:ascii="Times New Roman" w:hAnsi="Times New Roman"/>
                <w:sz w:val="24"/>
              </w:rPr>
              <w:t>Domes lēmumus var pārsūdzēt Administratīvajā rajona tiesā.</w:t>
            </w:r>
          </w:p>
          <w:p w14:paraId="1E816804" w14:textId="77777777" w:rsidR="005A60F3" w:rsidRPr="003402CA" w:rsidRDefault="005A60F3" w:rsidP="00474026">
            <w:pPr>
              <w:pStyle w:val="Sarakstarindkopa"/>
              <w:numPr>
                <w:ilvl w:val="1"/>
                <w:numId w:val="1"/>
              </w:numPr>
              <w:tabs>
                <w:tab w:val="left" w:pos="361"/>
              </w:tabs>
              <w:ind w:left="0" w:firstLine="0"/>
              <w:rPr>
                <w:rFonts w:ascii="Times New Roman" w:hAnsi="Times New Roman"/>
                <w:sz w:val="24"/>
              </w:rPr>
            </w:pPr>
            <w:r>
              <w:rPr>
                <w:rFonts w:ascii="Times New Roman" w:hAnsi="Times New Roman"/>
                <w:sz w:val="24"/>
              </w:rPr>
              <w:lastRenderedPageBreak/>
              <w:t xml:space="preserve"> </w:t>
            </w:r>
            <w:r w:rsidRPr="003402CA">
              <w:rPr>
                <w:rFonts w:ascii="Times New Roman" w:hAnsi="Times New Roman"/>
                <w:sz w:val="24"/>
              </w:rPr>
              <w:t>Pamatojoties uz Līvānu novada pašvaldības domes piešķirto finansējumu, Līvānu novada pašvaldība slēdz līgumu par atbalsta piešķiršanu.</w:t>
            </w:r>
          </w:p>
          <w:p w14:paraId="6580276F" w14:textId="77777777" w:rsidR="005A60F3" w:rsidRPr="009E1224" w:rsidRDefault="005A60F3" w:rsidP="00474026">
            <w:pPr>
              <w:pStyle w:val="Sarakstarindkopa"/>
              <w:numPr>
                <w:ilvl w:val="1"/>
                <w:numId w:val="1"/>
              </w:numPr>
              <w:tabs>
                <w:tab w:val="left" w:pos="0"/>
                <w:tab w:val="left" w:pos="78"/>
                <w:tab w:val="left" w:pos="361"/>
              </w:tabs>
              <w:ind w:left="0" w:firstLine="0"/>
              <w:rPr>
                <w:rFonts w:ascii="Times New Roman" w:hAnsi="Times New Roman"/>
                <w:sz w:val="24"/>
              </w:rPr>
            </w:pPr>
            <w:r w:rsidRPr="009E1224">
              <w:rPr>
                <w:rFonts w:ascii="Times New Roman" w:hAnsi="Times New Roman"/>
                <w:sz w:val="24"/>
              </w:rPr>
              <w:t xml:space="preserve"> Pašvaldības finansiālo atbalsta izmaksu veic Līvānu</w:t>
            </w:r>
            <w:r>
              <w:rPr>
                <w:rFonts w:ascii="Times New Roman" w:hAnsi="Times New Roman"/>
                <w:sz w:val="24"/>
              </w:rPr>
              <w:t xml:space="preserve"> </w:t>
            </w:r>
            <w:r w:rsidRPr="009E1224">
              <w:rPr>
                <w:rFonts w:ascii="Times New Roman" w:hAnsi="Times New Roman"/>
                <w:sz w:val="24"/>
              </w:rPr>
              <w:t>novada Centrālās pārvaldes Grāmatvedības nodaļa.</w:t>
            </w:r>
          </w:p>
          <w:p w14:paraId="0075C032" w14:textId="77777777" w:rsidR="005A60F3" w:rsidRPr="009F1D76" w:rsidRDefault="005A60F3" w:rsidP="00474026">
            <w:pPr>
              <w:pStyle w:val="Sarakstarindkopa"/>
              <w:numPr>
                <w:ilvl w:val="1"/>
                <w:numId w:val="1"/>
              </w:numPr>
              <w:tabs>
                <w:tab w:val="left" w:pos="361"/>
              </w:tabs>
              <w:spacing w:before="100" w:beforeAutospacing="1" w:after="100" w:afterAutospacing="1"/>
              <w:ind w:left="0" w:firstLine="0"/>
              <w:rPr>
                <w:rFonts w:ascii="Times New Roman" w:hAnsi="Times New Roman"/>
                <w:sz w:val="24"/>
              </w:rPr>
            </w:pPr>
            <w:r>
              <w:rPr>
                <w:rFonts w:ascii="Times New Roman" w:hAnsi="Times New Roman"/>
                <w:sz w:val="24"/>
              </w:rPr>
              <w:t xml:space="preserve"> </w:t>
            </w:r>
            <w:r w:rsidRPr="009F1D76">
              <w:rPr>
                <w:rFonts w:ascii="Times New Roman" w:hAnsi="Times New Roman"/>
                <w:sz w:val="24"/>
              </w:rPr>
              <w:t>Galvenie procedūras posmi un privātpersonām veicamās darbības noteiktas saistošajos noteikumos.</w:t>
            </w:r>
          </w:p>
          <w:p w14:paraId="405ADCBC" w14:textId="77777777" w:rsidR="005A60F3" w:rsidRPr="009F1D76" w:rsidRDefault="005A60F3" w:rsidP="00474026">
            <w:pPr>
              <w:pStyle w:val="Sarakstarindkopa"/>
              <w:numPr>
                <w:ilvl w:val="1"/>
                <w:numId w:val="1"/>
              </w:numPr>
              <w:tabs>
                <w:tab w:val="left" w:pos="361"/>
              </w:tabs>
              <w:spacing w:before="100" w:beforeAutospacing="1" w:after="100" w:afterAutospacing="1"/>
              <w:ind w:left="0" w:firstLine="0"/>
              <w:rPr>
                <w:rFonts w:ascii="Times New Roman" w:hAnsi="Times New Roman"/>
                <w:sz w:val="24"/>
              </w:rPr>
            </w:pPr>
            <w:r>
              <w:rPr>
                <w:rFonts w:ascii="Times New Roman" w:hAnsi="Times New Roman"/>
                <w:sz w:val="24"/>
              </w:rPr>
              <w:t xml:space="preserve"> </w:t>
            </w:r>
            <w:r w:rsidRPr="009F1D76">
              <w:rPr>
                <w:rFonts w:ascii="Times New Roman" w:hAnsi="Times New Roman"/>
                <w:sz w:val="24"/>
              </w:rPr>
              <w:t>Administratīvo procedūru izmaksas nav paredzētas.</w:t>
            </w:r>
          </w:p>
          <w:p w14:paraId="78D2F654" w14:textId="77777777" w:rsidR="005A60F3" w:rsidRPr="00512BA5" w:rsidRDefault="005A60F3" w:rsidP="00474026">
            <w:pPr>
              <w:contextualSpacing/>
              <w:jc w:val="both"/>
              <w:rPr>
                <w:rFonts w:ascii="Times New Roman" w:hAnsi="Times New Roman"/>
                <w:sz w:val="24"/>
              </w:rPr>
            </w:pPr>
          </w:p>
        </w:tc>
      </w:tr>
      <w:tr w:rsidR="005A60F3" w:rsidRPr="00512BA5" w14:paraId="45A0FA5E" w14:textId="77777777" w:rsidTr="00474026">
        <w:tc>
          <w:tcPr>
            <w:tcW w:w="2405" w:type="dxa"/>
          </w:tcPr>
          <w:p w14:paraId="68747784" w14:textId="77777777" w:rsidR="005A60F3" w:rsidRPr="00512BA5" w:rsidRDefault="005A60F3" w:rsidP="00474026">
            <w:pPr>
              <w:jc w:val="both"/>
              <w:rPr>
                <w:rFonts w:ascii="Times New Roman" w:hAnsi="Times New Roman"/>
                <w:sz w:val="24"/>
              </w:rPr>
            </w:pPr>
            <w:r w:rsidRPr="00512BA5">
              <w:rPr>
                <w:rFonts w:ascii="Times New Roman" w:hAnsi="Times New Roman"/>
                <w:sz w:val="24"/>
              </w:rPr>
              <w:lastRenderedPageBreak/>
              <w:t>5. Ietekme uz pašvaldības funkcijām un cilvēkresursiem</w:t>
            </w:r>
          </w:p>
        </w:tc>
        <w:tc>
          <w:tcPr>
            <w:tcW w:w="6417" w:type="dxa"/>
          </w:tcPr>
          <w:p w14:paraId="571A02C8" w14:textId="77777777" w:rsidR="005A60F3" w:rsidRPr="00512BA5" w:rsidRDefault="005A60F3" w:rsidP="00474026">
            <w:pPr>
              <w:jc w:val="both"/>
              <w:rPr>
                <w:rFonts w:ascii="Times New Roman" w:hAnsi="Times New Roman"/>
                <w:sz w:val="24"/>
              </w:rPr>
            </w:pPr>
            <w:r>
              <w:rPr>
                <w:rFonts w:ascii="Times New Roman" w:hAnsi="Times New Roman"/>
                <w:sz w:val="24"/>
              </w:rPr>
              <w:t xml:space="preserve">5.1. </w:t>
            </w:r>
            <w:r w:rsidRPr="00512BA5">
              <w:rPr>
                <w:rFonts w:ascii="Times New Roman" w:hAnsi="Times New Roman"/>
                <w:sz w:val="24"/>
              </w:rPr>
              <w:t xml:space="preserve">Saistošie noteikumi izstrādāti </w:t>
            </w:r>
            <w:r>
              <w:rPr>
                <w:rFonts w:ascii="Times New Roman" w:hAnsi="Times New Roman"/>
                <w:sz w:val="24"/>
              </w:rPr>
              <w:t xml:space="preserve">atbilstoši </w:t>
            </w:r>
            <w:hyperlink r:id="rId6" w:tgtFrame="_blank" w:history="1">
              <w:r w:rsidRPr="00512BA5">
                <w:rPr>
                  <w:rFonts w:ascii="Times New Roman" w:hAnsi="Times New Roman"/>
                  <w:color w:val="0000FF"/>
                  <w:sz w:val="24"/>
                  <w:u w:val="single"/>
                </w:rPr>
                <w:t>Pašvaldību likuma</w:t>
              </w:r>
            </w:hyperlink>
            <w:r w:rsidRPr="00512BA5">
              <w:rPr>
                <w:rFonts w:ascii="Times New Roman" w:hAnsi="Times New Roman"/>
                <w:sz w:val="24"/>
              </w:rPr>
              <w:t xml:space="preserve"> </w:t>
            </w:r>
            <w:hyperlink r:id="rId7" w:anchor="p4" w:tgtFrame="_blank" w:history="1">
              <w:r w:rsidRPr="00512BA5">
                <w:rPr>
                  <w:rFonts w:ascii="Times New Roman" w:hAnsi="Times New Roman"/>
                  <w:color w:val="0000FF"/>
                  <w:sz w:val="24"/>
                  <w:u w:val="single"/>
                </w:rPr>
                <w:t>4. panta</w:t>
              </w:r>
            </w:hyperlink>
            <w:r w:rsidRPr="00512BA5">
              <w:rPr>
                <w:rFonts w:ascii="Times New Roman" w:hAnsi="Times New Roman"/>
                <w:sz w:val="24"/>
              </w:rPr>
              <w:t xml:space="preserve"> pirmās daļas 7. punktā noteiktajai </w:t>
            </w:r>
            <w:r>
              <w:rPr>
                <w:rFonts w:ascii="Times New Roman" w:hAnsi="Times New Roman"/>
                <w:sz w:val="24"/>
              </w:rPr>
              <w:t>p</w:t>
            </w:r>
            <w:r w:rsidRPr="00512BA5">
              <w:rPr>
                <w:rFonts w:ascii="Times New Roman" w:hAnsi="Times New Roman"/>
                <w:sz w:val="24"/>
              </w:rPr>
              <w:t>ašvaldības funkcijai veicināt sporta attīstību, tostarp uzturēt un attīstīt pašvaldības sporta bāzes, atbalstīt sportistu un sporta klubu, arī profesionālo sporta klubu, darbību un sniegt atbalstu sporta sacensību organizēšanai.</w:t>
            </w:r>
          </w:p>
          <w:p w14:paraId="1BE987DA" w14:textId="77777777" w:rsidR="005A60F3" w:rsidRPr="00512BA5" w:rsidRDefault="005A60F3" w:rsidP="00474026">
            <w:pPr>
              <w:spacing w:before="100" w:beforeAutospacing="1" w:after="100" w:afterAutospacing="1"/>
              <w:jc w:val="both"/>
              <w:rPr>
                <w:rFonts w:ascii="Times New Roman" w:hAnsi="Times New Roman"/>
                <w:sz w:val="24"/>
              </w:rPr>
            </w:pPr>
            <w:r>
              <w:rPr>
                <w:rFonts w:ascii="Times New Roman" w:hAnsi="Times New Roman"/>
                <w:sz w:val="24"/>
              </w:rPr>
              <w:t xml:space="preserve">5.2. </w:t>
            </w:r>
            <w:r w:rsidRPr="00512BA5">
              <w:rPr>
                <w:rFonts w:ascii="Times New Roman" w:hAnsi="Times New Roman"/>
                <w:sz w:val="24"/>
              </w:rPr>
              <w:t xml:space="preserve">Saistošo noteikumu izpildes nodrošināšanai nav nepieciešams veidot jaunas </w:t>
            </w:r>
            <w:r>
              <w:rPr>
                <w:rFonts w:ascii="Times New Roman" w:hAnsi="Times New Roman"/>
                <w:sz w:val="24"/>
              </w:rPr>
              <w:t>p</w:t>
            </w:r>
            <w:r w:rsidRPr="00512BA5">
              <w:rPr>
                <w:rFonts w:ascii="Times New Roman" w:hAnsi="Times New Roman"/>
                <w:sz w:val="24"/>
              </w:rPr>
              <w:t>ašvaldības institūcijas, darba vietas vai paplašināt esošo institūciju kompetenci.</w:t>
            </w:r>
          </w:p>
          <w:p w14:paraId="690D7DD3" w14:textId="77777777" w:rsidR="005A60F3" w:rsidRPr="00512BA5" w:rsidRDefault="005A60F3" w:rsidP="00474026">
            <w:pPr>
              <w:contextualSpacing/>
              <w:jc w:val="both"/>
              <w:rPr>
                <w:rFonts w:ascii="Times New Roman" w:hAnsi="Times New Roman"/>
                <w:sz w:val="24"/>
              </w:rPr>
            </w:pPr>
          </w:p>
        </w:tc>
      </w:tr>
      <w:tr w:rsidR="005A60F3" w:rsidRPr="00512BA5" w14:paraId="1F2803AB" w14:textId="77777777" w:rsidTr="00474026">
        <w:tc>
          <w:tcPr>
            <w:tcW w:w="2405" w:type="dxa"/>
          </w:tcPr>
          <w:p w14:paraId="4BB1C582" w14:textId="77777777" w:rsidR="005A60F3" w:rsidRPr="00512BA5" w:rsidRDefault="005A60F3" w:rsidP="00474026">
            <w:pPr>
              <w:jc w:val="both"/>
              <w:rPr>
                <w:rFonts w:ascii="Times New Roman" w:hAnsi="Times New Roman"/>
                <w:sz w:val="24"/>
              </w:rPr>
            </w:pPr>
            <w:r w:rsidRPr="00512BA5">
              <w:rPr>
                <w:rFonts w:ascii="Times New Roman" w:hAnsi="Times New Roman"/>
                <w:sz w:val="24"/>
              </w:rPr>
              <w:t>6. Informācija par izpildes nodrošināšanu</w:t>
            </w:r>
          </w:p>
        </w:tc>
        <w:tc>
          <w:tcPr>
            <w:tcW w:w="6417" w:type="dxa"/>
          </w:tcPr>
          <w:p w14:paraId="7DF2F280" w14:textId="77777777" w:rsidR="005A60F3" w:rsidRPr="00512BA5" w:rsidRDefault="005A60F3" w:rsidP="00474026">
            <w:pPr>
              <w:jc w:val="both"/>
              <w:rPr>
                <w:rFonts w:ascii="Times New Roman" w:hAnsi="Times New Roman"/>
                <w:sz w:val="24"/>
              </w:rPr>
            </w:pPr>
            <w:r>
              <w:rPr>
                <w:rFonts w:ascii="Times New Roman" w:hAnsi="Times New Roman"/>
                <w:sz w:val="24"/>
              </w:rPr>
              <w:t xml:space="preserve">6.1. </w:t>
            </w:r>
            <w:r w:rsidRPr="00512BA5">
              <w:rPr>
                <w:rFonts w:ascii="Times New Roman" w:hAnsi="Times New Roman"/>
                <w:sz w:val="24"/>
              </w:rPr>
              <w:t>Saistošo noteikumu izpildi nodrošina</w:t>
            </w:r>
            <w:r>
              <w:rPr>
                <w:rFonts w:ascii="Times New Roman" w:hAnsi="Times New Roman"/>
                <w:sz w:val="24"/>
              </w:rPr>
              <w:t xml:space="preserve"> Līvānu novada</w:t>
            </w:r>
            <w:r w:rsidRPr="00512BA5">
              <w:rPr>
                <w:rFonts w:ascii="Times New Roman" w:hAnsi="Times New Roman"/>
                <w:sz w:val="24"/>
              </w:rPr>
              <w:t xml:space="preserve"> Centrālā pārvalde.</w:t>
            </w:r>
          </w:p>
          <w:p w14:paraId="6C4E1661" w14:textId="77777777" w:rsidR="005A60F3" w:rsidRPr="00512BA5" w:rsidRDefault="005A60F3" w:rsidP="00474026">
            <w:pPr>
              <w:spacing w:before="100" w:beforeAutospacing="1" w:after="100" w:afterAutospacing="1"/>
              <w:jc w:val="both"/>
              <w:rPr>
                <w:rFonts w:ascii="Times New Roman" w:hAnsi="Times New Roman"/>
                <w:sz w:val="24"/>
              </w:rPr>
            </w:pPr>
            <w:r>
              <w:rPr>
                <w:rFonts w:ascii="Times New Roman" w:hAnsi="Times New Roman"/>
                <w:sz w:val="24"/>
              </w:rPr>
              <w:t xml:space="preserve">6.2. </w:t>
            </w:r>
            <w:r w:rsidRPr="00512BA5">
              <w:rPr>
                <w:rFonts w:ascii="Times New Roman" w:hAnsi="Times New Roman"/>
                <w:sz w:val="24"/>
              </w:rPr>
              <w:t>Nav paredzēta jaunu institūciju izveide, esošo likvidācija, reorganizācija, vai jaunu darba vietu izveide. </w:t>
            </w:r>
          </w:p>
          <w:p w14:paraId="0ABD6713" w14:textId="77777777" w:rsidR="005A60F3" w:rsidRPr="00512BA5" w:rsidRDefault="005A60F3" w:rsidP="00474026">
            <w:pPr>
              <w:ind w:left="360"/>
              <w:contextualSpacing/>
              <w:jc w:val="both"/>
              <w:rPr>
                <w:rFonts w:ascii="Times New Roman" w:hAnsi="Times New Roman"/>
                <w:sz w:val="24"/>
              </w:rPr>
            </w:pPr>
          </w:p>
        </w:tc>
      </w:tr>
      <w:tr w:rsidR="005A60F3" w:rsidRPr="00512BA5" w14:paraId="390F39C0" w14:textId="77777777" w:rsidTr="00474026">
        <w:tc>
          <w:tcPr>
            <w:tcW w:w="2405" w:type="dxa"/>
          </w:tcPr>
          <w:p w14:paraId="5D2180B3" w14:textId="77777777" w:rsidR="005A60F3" w:rsidRPr="00512BA5" w:rsidRDefault="005A60F3" w:rsidP="00474026">
            <w:pPr>
              <w:jc w:val="both"/>
              <w:rPr>
                <w:rFonts w:ascii="Times New Roman" w:hAnsi="Times New Roman"/>
                <w:sz w:val="24"/>
              </w:rPr>
            </w:pPr>
            <w:r w:rsidRPr="00512BA5">
              <w:rPr>
                <w:rFonts w:ascii="Times New Roman" w:hAnsi="Times New Roman"/>
                <w:sz w:val="24"/>
              </w:rPr>
              <w:t>7. Prasību un izmaksu samērīgums pret ieguvumiem, ko sniedz mērķa sasniegšana</w:t>
            </w:r>
          </w:p>
        </w:tc>
        <w:tc>
          <w:tcPr>
            <w:tcW w:w="6417" w:type="dxa"/>
          </w:tcPr>
          <w:p w14:paraId="69533B1A" w14:textId="77777777" w:rsidR="005A60F3" w:rsidRPr="00512BA5" w:rsidRDefault="005A60F3" w:rsidP="00474026">
            <w:pPr>
              <w:ind w:left="-64"/>
              <w:contextualSpacing/>
              <w:jc w:val="both"/>
              <w:rPr>
                <w:rFonts w:ascii="Times New Roman" w:hAnsi="Times New Roman"/>
                <w:sz w:val="24"/>
              </w:rPr>
            </w:pPr>
            <w:r>
              <w:rPr>
                <w:rFonts w:ascii="Times New Roman" w:hAnsi="Times New Roman"/>
                <w:sz w:val="24"/>
              </w:rPr>
              <w:t xml:space="preserve">7.1. </w:t>
            </w:r>
            <w:r w:rsidRPr="00512BA5">
              <w:rPr>
                <w:rFonts w:ascii="Times New Roman" w:hAnsi="Times New Roman"/>
                <w:sz w:val="24"/>
              </w:rPr>
              <w:t>Saistošie noteikumi ir piemēroti iecerētā mērķa sasniegšanas nodrošināšanai un paredz tikai to, kas ir vajadzīgs minētā mērķa sasniegšanai. Pašvaldības izraudzītie līdzekļi ir leģitīmi un rīcība ir atbilstoša augstākstāvošajiem normatīvajiem aktiem.</w:t>
            </w:r>
          </w:p>
        </w:tc>
      </w:tr>
      <w:tr w:rsidR="005A60F3" w:rsidRPr="00512BA5" w14:paraId="0D192EC1" w14:textId="77777777" w:rsidTr="00474026">
        <w:tc>
          <w:tcPr>
            <w:tcW w:w="2405" w:type="dxa"/>
          </w:tcPr>
          <w:p w14:paraId="18274468" w14:textId="77777777" w:rsidR="005A60F3" w:rsidRPr="00512BA5" w:rsidRDefault="005A60F3" w:rsidP="00474026">
            <w:pPr>
              <w:jc w:val="both"/>
              <w:rPr>
                <w:rFonts w:ascii="Times New Roman" w:hAnsi="Times New Roman"/>
                <w:sz w:val="24"/>
              </w:rPr>
            </w:pPr>
            <w:r w:rsidRPr="00512BA5">
              <w:rPr>
                <w:rFonts w:ascii="Times New Roman" w:hAnsi="Times New Roman"/>
                <w:sz w:val="24"/>
              </w:rPr>
              <w:t>8. Izstrādes gaitā veiktās konsultācijas ar privātpersonām un institūcijām</w:t>
            </w:r>
          </w:p>
        </w:tc>
        <w:tc>
          <w:tcPr>
            <w:tcW w:w="6417" w:type="dxa"/>
          </w:tcPr>
          <w:p w14:paraId="35781276" w14:textId="77777777" w:rsidR="005A60F3" w:rsidRPr="00512BA5" w:rsidRDefault="005A60F3" w:rsidP="00474026">
            <w:pPr>
              <w:ind w:left="-64"/>
              <w:contextualSpacing/>
              <w:jc w:val="both"/>
              <w:rPr>
                <w:rFonts w:ascii="Times New Roman" w:hAnsi="Times New Roman"/>
                <w:bCs w:val="0"/>
                <w:sz w:val="24"/>
              </w:rPr>
            </w:pPr>
            <w:r>
              <w:rPr>
                <w:rFonts w:ascii="Times New Roman" w:hAnsi="Times New Roman"/>
                <w:sz w:val="24"/>
              </w:rPr>
              <w:t xml:space="preserve">8.1. </w:t>
            </w:r>
            <w:r w:rsidRPr="00512BA5">
              <w:rPr>
                <w:rFonts w:ascii="Times New Roman" w:hAnsi="Times New Roman"/>
                <w:sz w:val="24"/>
              </w:rPr>
              <w:t>Ievērojot Pašvaldību likuma 46.panta trešo daļu saistošo noteikumu projekts publicējams pašvaldības mājaslapā sabiedrības viedokļa noskaidrošanai.</w:t>
            </w:r>
          </w:p>
          <w:p w14:paraId="5A691A0C" w14:textId="77777777" w:rsidR="005A60F3" w:rsidRPr="00512BA5" w:rsidRDefault="005A60F3" w:rsidP="00474026">
            <w:pPr>
              <w:ind w:left="357"/>
              <w:contextualSpacing/>
              <w:jc w:val="both"/>
              <w:rPr>
                <w:rFonts w:ascii="Times New Roman" w:hAnsi="Times New Roman"/>
                <w:sz w:val="24"/>
              </w:rPr>
            </w:pPr>
          </w:p>
        </w:tc>
      </w:tr>
    </w:tbl>
    <w:p w14:paraId="1A236746" w14:textId="77777777" w:rsidR="005A60F3" w:rsidRPr="00512BA5" w:rsidRDefault="005A60F3" w:rsidP="005A60F3"/>
    <w:p w14:paraId="5B3DB501" w14:textId="77777777" w:rsidR="005A60F3" w:rsidRPr="00512BA5" w:rsidRDefault="005A60F3" w:rsidP="005A60F3"/>
    <w:p w14:paraId="6955D9A0" w14:textId="77777777" w:rsidR="005A60F3" w:rsidRPr="00512BA5" w:rsidRDefault="005A60F3" w:rsidP="005A60F3">
      <w:r w:rsidRPr="00512BA5">
        <w:t xml:space="preserve">Līvānu novada pašvaldības domes priekšsēdētājs </w:t>
      </w:r>
      <w:r>
        <w:t xml:space="preserve">                                        </w:t>
      </w:r>
      <w:r w:rsidRPr="00512BA5">
        <w:t>A. Vaivods</w:t>
      </w:r>
      <w:r w:rsidRPr="00512BA5">
        <w:rPr>
          <w:i/>
          <w:iCs/>
        </w:rPr>
        <w:t xml:space="preserve"> </w:t>
      </w:r>
    </w:p>
    <w:p w14:paraId="1D8ACF68" w14:textId="77777777" w:rsidR="003B2520" w:rsidRDefault="003B2520"/>
    <w:sectPr w:rsidR="003B25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1756F"/>
    <w:multiLevelType w:val="multilevel"/>
    <w:tmpl w:val="68B68E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C32686"/>
    <w:multiLevelType w:val="multilevel"/>
    <w:tmpl w:val="FCB42B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3370887">
    <w:abstractNumId w:val="0"/>
  </w:num>
  <w:num w:numId="2" w16cid:durableId="106818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F3"/>
    <w:rsid w:val="003B2520"/>
    <w:rsid w:val="005A60F3"/>
    <w:rsid w:val="009A5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16C5"/>
  <w15:chartTrackingRefBased/>
  <w15:docId w15:val="{2793A85D-97D9-4E9D-85B2-5EB1CE40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60F3"/>
    <w:pPr>
      <w:spacing w:after="0" w:line="240" w:lineRule="auto"/>
    </w:pPr>
    <w:rPr>
      <w:rFonts w:eastAsia="Times New Roman"/>
      <w:bCs w:val="0"/>
      <w:kern w:val="0"/>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A60F3"/>
    <w:pPr>
      <w:ind w:left="720"/>
      <w:contextualSpacing/>
    </w:pPr>
  </w:style>
  <w:style w:type="table" w:customStyle="1" w:styleId="Reatabula2">
    <w:name w:val="Režģa tabula2"/>
    <w:basedOn w:val="Parastatabula"/>
    <w:next w:val="Reatabula"/>
    <w:uiPriority w:val="39"/>
    <w:rsid w:val="005A60F3"/>
    <w:pPr>
      <w:spacing w:after="0" w:line="240" w:lineRule="auto"/>
    </w:pPr>
    <w:rPr>
      <w:rFonts w:ascii="Calibri" w:eastAsia="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4126</Words>
  <Characters>2353</Characters>
  <Application>Microsoft Office Word</Application>
  <DocSecurity>0</DocSecurity>
  <Lines>19</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cp:revision>
  <dcterms:created xsi:type="dcterms:W3CDTF">2024-11-26T13:34:00Z</dcterms:created>
  <dcterms:modified xsi:type="dcterms:W3CDTF">2024-11-26T13:35:00Z</dcterms:modified>
</cp:coreProperties>
</file>