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55E7E" w14:textId="0F6C2399" w:rsidR="000F39BA" w:rsidRPr="000F39BA" w:rsidRDefault="000F39BA" w:rsidP="00C16444">
      <w:pPr>
        <w:spacing w:after="160" w:line="259" w:lineRule="auto"/>
        <w:jc w:val="center"/>
        <w:rPr>
          <w:sz w:val="20"/>
          <w:szCs w:val="20"/>
        </w:rPr>
      </w:pPr>
      <w:r w:rsidRPr="000F39BA">
        <w:rPr>
          <w:noProof/>
          <w:sz w:val="20"/>
          <w:szCs w:val="20"/>
        </w:rPr>
        <w:drawing>
          <wp:inline distT="0" distB="0" distL="0" distR="0" wp14:anchorId="188C95F9" wp14:editId="4080610A">
            <wp:extent cx="704850" cy="800100"/>
            <wp:effectExtent l="0" t="0" r="0" b="0"/>
            <wp:docPr id="1667475202" name="Attēls 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04850" cy="800100"/>
                    </a:xfrm>
                    <a:prstGeom prst="rect">
                      <a:avLst/>
                    </a:prstGeom>
                    <a:ln/>
                  </pic:spPr>
                </pic:pic>
              </a:graphicData>
            </a:graphic>
          </wp:inline>
        </w:drawing>
      </w:r>
    </w:p>
    <w:p w14:paraId="7E46CF2D" w14:textId="75A84BA2" w:rsidR="000F39BA" w:rsidRPr="00C16444" w:rsidRDefault="00C16444" w:rsidP="000F39BA">
      <w:pPr>
        <w:jc w:val="center"/>
        <w:rPr>
          <w:b/>
          <w:sz w:val="32"/>
          <w:szCs w:val="32"/>
        </w:rPr>
      </w:pPr>
      <w:r w:rsidRPr="000F39BA">
        <w:rPr>
          <w:noProof/>
          <w:sz w:val="20"/>
          <w:szCs w:val="20"/>
        </w:rPr>
        <mc:AlternateContent>
          <mc:Choice Requires="wps">
            <w:drawing>
              <wp:anchor distT="4294967295" distB="4294967295" distL="114300" distR="114300" simplePos="0" relativeHeight="251665408" behindDoc="0" locked="0" layoutInCell="1" hidden="0" allowOverlap="1" wp14:anchorId="27FB4AC9" wp14:editId="546A83E1">
                <wp:simplePos x="0" y="0"/>
                <wp:positionH relativeFrom="margin">
                  <wp:align>center</wp:align>
                </wp:positionH>
                <wp:positionV relativeFrom="paragraph">
                  <wp:posOffset>246021</wp:posOffset>
                </wp:positionV>
                <wp:extent cx="6858000" cy="12700"/>
                <wp:effectExtent l="0" t="0" r="19050" b="25400"/>
                <wp:wrapNone/>
                <wp:docPr id="1203748847" name="Taisns bultveida savienotājs 4"/>
                <wp:cNvGraphicFramePr/>
                <a:graphic xmlns:a="http://schemas.openxmlformats.org/drawingml/2006/main">
                  <a:graphicData uri="http://schemas.microsoft.com/office/word/2010/wordprocessingShape">
                    <wps:wsp>
                      <wps:cNvCnPr/>
                      <wps:spPr>
                        <a:xfrm>
                          <a:off x="0" y="0"/>
                          <a:ext cx="6858000" cy="12700"/>
                        </a:xfrm>
                        <a:prstGeom prst="straightConnector1">
                          <a:avLst/>
                        </a:prstGeom>
                        <a:noFill/>
                        <a:ln w="9525" cap="flat" cmpd="sng">
                          <a:solidFill>
                            <a:srgbClr val="548DD4"/>
                          </a:solidFill>
                          <a:prstDash val="solid"/>
                          <a:round/>
                          <a:headEnd type="none" w="med" len="med"/>
                          <a:tailEnd type="none" w="med" len="med"/>
                        </a:ln>
                      </wps:spPr>
                      <wps:bodyPr/>
                    </wps:wsp>
                  </a:graphicData>
                </a:graphic>
              </wp:anchor>
            </w:drawing>
          </mc:Choice>
          <mc:Fallback>
            <w:pict>
              <v:shapetype w14:anchorId="25868390" id="_x0000_t32" coordsize="21600,21600" o:spt="32" o:oned="t" path="m,l21600,21600e" filled="f">
                <v:path arrowok="t" fillok="f" o:connecttype="none"/>
                <o:lock v:ext="edit" shapetype="t"/>
              </v:shapetype>
              <v:shape id="Taisns bultveida savienotājs 4" o:spid="_x0000_s1026" type="#_x0000_t32" style="position:absolute;margin-left:0;margin-top:19.35pt;width:540pt;height:1pt;z-index:251665408;visibility:visible;mso-wrap-style:square;mso-wrap-distance-left:9pt;mso-wrap-distance-top:-3e-5mm;mso-wrap-distance-right:9pt;mso-wrap-distance-bottom:-3e-5mm;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" strokecolor="#548dd4">
                <w10:wrap anchorx="margin"/>
              </v:shape>
            </w:pict>
          </mc:Fallback>
        </mc:AlternateContent>
      </w:r>
      <w:r w:rsidR="000F39BA" w:rsidRPr="00C16444">
        <w:rPr>
          <w:b/>
          <w:sz w:val="32"/>
          <w:szCs w:val="32"/>
        </w:rPr>
        <w:t>LĪVĀNU NOVADA PAŠVALDĪBA</w:t>
      </w:r>
    </w:p>
    <w:p w14:paraId="7D86F585" w14:textId="77777777" w:rsidR="000F39BA" w:rsidRPr="00C16444" w:rsidRDefault="000F39BA" w:rsidP="000F39BA">
      <w:pPr>
        <w:jc w:val="center"/>
      </w:pPr>
      <w:r w:rsidRPr="00C16444">
        <w:t>Reģistrācijas Nr. 90000065595, Rīgas iela 77, Līvāni, Līvānu novads, LV – 5316,</w:t>
      </w:r>
    </w:p>
    <w:p w14:paraId="3D85D90A" w14:textId="4BF64117" w:rsidR="000F39BA" w:rsidRPr="00C16444" w:rsidRDefault="000F39BA" w:rsidP="000F39BA">
      <w:pPr>
        <w:jc w:val="center"/>
      </w:pPr>
      <w:r w:rsidRPr="00C16444">
        <w:t>tālr.: 65307250, e-pasts: pasts@livani.lv</w:t>
      </w:r>
    </w:p>
    <w:p w14:paraId="52E439DC" w14:textId="77777777" w:rsidR="000F39BA" w:rsidRPr="00C16444" w:rsidRDefault="000F39BA" w:rsidP="000F39BA">
      <w:pPr>
        <w:jc w:val="center"/>
      </w:pPr>
    </w:p>
    <w:p w14:paraId="31192472" w14:textId="77777777" w:rsidR="000F39BA" w:rsidRPr="00637137" w:rsidRDefault="000F39BA" w:rsidP="00C614E4">
      <w:pPr>
        <w:jc w:val="center"/>
        <w:rPr>
          <w:sz w:val="20"/>
          <w:szCs w:val="20"/>
        </w:rPr>
      </w:pPr>
    </w:p>
    <w:p w14:paraId="291B8C6F" w14:textId="77777777" w:rsidR="00C614E4" w:rsidRPr="00313C81" w:rsidRDefault="00C614E4" w:rsidP="00C614E4">
      <w:pPr>
        <w:rPr>
          <w:b/>
        </w:rPr>
      </w:pPr>
    </w:p>
    <w:p w14:paraId="20E74B94" w14:textId="63540F9B" w:rsidR="00C614E4" w:rsidRPr="00313C81" w:rsidRDefault="00C614E4" w:rsidP="00C614E4">
      <w:pPr>
        <w:jc w:val="center"/>
        <w:rPr>
          <w:b/>
        </w:rPr>
      </w:pPr>
      <w:r>
        <w:t>202</w:t>
      </w:r>
      <w:r w:rsidR="00EC0FB6">
        <w:t>4</w:t>
      </w:r>
      <w:r>
        <w:t xml:space="preserve">.gada __.___ </w:t>
      </w:r>
      <w:r w:rsidRPr="00313C81">
        <w:t>Līvānu novada</w:t>
      </w:r>
      <w:r w:rsidR="000F39BA">
        <w:t xml:space="preserve"> pašvaldības</w:t>
      </w:r>
      <w:r w:rsidRPr="00313C81">
        <w:t xml:space="preserve"> domes </w:t>
      </w:r>
      <w:r>
        <w:t>saistošo noteikumu</w:t>
      </w:r>
      <w:r w:rsidRPr="00313C81">
        <w:t xml:space="preserve"> Nr.__ </w:t>
      </w:r>
      <w:r w:rsidR="00022901" w:rsidRPr="00022901">
        <w:t>„</w:t>
      </w:r>
      <w:r w:rsidR="00EC0FB6" w:rsidRPr="00EC0FB6">
        <w:rPr>
          <w:b/>
          <w:bCs/>
        </w:rPr>
        <w:t>Par Līvānu novada pašvaldības teritorijas kopšanu un būvju uzturēšanu</w:t>
      </w:r>
      <w:r w:rsidRPr="00176926">
        <w:t>”</w:t>
      </w:r>
    </w:p>
    <w:p w14:paraId="644B2AA8" w14:textId="77777777" w:rsidR="00C614E4" w:rsidRPr="00313C81" w:rsidRDefault="00C614E4" w:rsidP="00C614E4">
      <w:pPr>
        <w:jc w:val="center"/>
        <w:rPr>
          <w:b/>
        </w:rPr>
      </w:pPr>
      <w:r w:rsidRPr="00313C81">
        <w:rPr>
          <w:b/>
        </w:rPr>
        <w:t>PASKAIDROJUMA RAKSTS</w:t>
      </w:r>
    </w:p>
    <w:p w14:paraId="32B04A38" w14:textId="77777777" w:rsidR="00C614E4" w:rsidRPr="00313C81" w:rsidRDefault="00C614E4" w:rsidP="00C614E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2"/>
        <w:gridCol w:w="5712"/>
      </w:tblGrid>
      <w:tr w:rsidR="00C614E4" w:rsidRPr="00313C81" w14:paraId="4BB7839B" w14:textId="77777777" w:rsidTr="00EC0FB6">
        <w:tc>
          <w:tcPr>
            <w:tcW w:w="2782" w:type="dxa"/>
            <w:shd w:val="clear" w:color="auto" w:fill="auto"/>
          </w:tcPr>
          <w:p w14:paraId="301C225B" w14:textId="77777777" w:rsidR="00C614E4" w:rsidRPr="00313C81" w:rsidRDefault="00C614E4" w:rsidP="00D73FB0">
            <w:pPr>
              <w:jc w:val="center"/>
              <w:rPr>
                <w:b/>
              </w:rPr>
            </w:pPr>
            <w:r w:rsidRPr="00313C81">
              <w:rPr>
                <w:b/>
              </w:rPr>
              <w:t>Paskaidrojuma raksts sadaļa</w:t>
            </w:r>
          </w:p>
        </w:tc>
        <w:tc>
          <w:tcPr>
            <w:tcW w:w="5712" w:type="dxa"/>
            <w:shd w:val="clear" w:color="auto" w:fill="auto"/>
          </w:tcPr>
          <w:p w14:paraId="425ED8FF" w14:textId="77777777" w:rsidR="00C614E4" w:rsidRPr="00313C81" w:rsidRDefault="00C614E4" w:rsidP="00D73FB0">
            <w:pPr>
              <w:jc w:val="center"/>
              <w:rPr>
                <w:b/>
              </w:rPr>
            </w:pPr>
            <w:r w:rsidRPr="00313C81">
              <w:rPr>
                <w:b/>
              </w:rPr>
              <w:t>Norādāmā informācija</w:t>
            </w:r>
          </w:p>
        </w:tc>
      </w:tr>
      <w:tr w:rsidR="00C614E4" w:rsidRPr="00313C81" w14:paraId="118FD8CE" w14:textId="77777777" w:rsidTr="00EC0FB6">
        <w:tc>
          <w:tcPr>
            <w:tcW w:w="2782" w:type="dxa"/>
            <w:shd w:val="clear" w:color="auto" w:fill="auto"/>
          </w:tcPr>
          <w:p w14:paraId="5A40AA66" w14:textId="3BEB8752" w:rsidR="00C614E4" w:rsidRPr="00313C81" w:rsidRDefault="00C614E4" w:rsidP="00D73FB0">
            <w:r w:rsidRPr="00313C81">
              <w:t>1.</w:t>
            </w:r>
            <w:r w:rsidR="00EC0FB6" w:rsidRPr="00EC0FB6">
              <w:rPr>
                <w:rFonts w:ascii="Arial" w:hAnsi="Arial" w:cs="Arial"/>
                <w:color w:val="414142"/>
                <w:sz w:val="20"/>
                <w:szCs w:val="20"/>
                <w:shd w:val="clear" w:color="auto" w:fill="FFFFFF"/>
              </w:rPr>
              <w:t xml:space="preserve"> </w:t>
            </w:r>
            <w:r w:rsidR="00EC0FB6" w:rsidRPr="00EC0FB6">
              <w:t>Mērķis un nepieciešamības pamatojums </w:t>
            </w:r>
          </w:p>
        </w:tc>
        <w:tc>
          <w:tcPr>
            <w:tcW w:w="5712" w:type="dxa"/>
            <w:shd w:val="clear" w:color="auto" w:fill="auto"/>
          </w:tcPr>
          <w:p w14:paraId="02F5F3E2" w14:textId="1DD4DAA9" w:rsidR="00E430D1" w:rsidRPr="00E430D1" w:rsidRDefault="00E430D1" w:rsidP="00E430D1">
            <w:pPr>
              <w:spacing w:after="120"/>
              <w:jc w:val="both"/>
            </w:pPr>
            <w:r w:rsidRPr="00E430D1">
              <w:t xml:space="preserve">1.1. Saistošo noteikumu izdošanas mērķis ir ar ārējo normatīvo aktu noteikt tiesisko regulējumu, kas nodrošinātu </w:t>
            </w:r>
            <w:r>
              <w:t>Līvānu</w:t>
            </w:r>
            <w:r w:rsidRPr="00E430D1">
              <w:t xml:space="preserve"> novada administratīvās teritorijas sakopšanu un tajā esošo ēku un būvju uzturēšanas prasības.</w:t>
            </w:r>
          </w:p>
          <w:p w14:paraId="3099DB47" w14:textId="28DD688F" w:rsidR="00E430D1" w:rsidRPr="00E430D1" w:rsidRDefault="00E430D1" w:rsidP="00E430D1">
            <w:pPr>
              <w:spacing w:after="120"/>
              <w:jc w:val="both"/>
            </w:pPr>
            <w:r w:rsidRPr="00E430D1">
              <w:t>1.2. Nekustamo īpašumu īpašnieki ne vienmēr sakopj sava īpašuma teritoriju. Pilsētās un ciemos daudziem privātajiem īpašumiem piekļaujas arī pašvaldībai piederošas publiskas teritorijas. Pašvaldībai nav nepieciešamo resursu visus tos uzturēt kārtībā un kopt pilnā apjomā. Daudzi īpašnieki labprātīgi sakopj arī piegulošas teritorijas, tādējādi rūpējoties par sev tuvumā esošo kārtību un patīkamo vidi. Tajā pat laikā citiem īpašniekiem attieksme pret vides uzturēšanu kārtībā ir pavirša. Rezultātā īpašumiem piegulošās publiskās teritorijas un arī pašu īpašumu teritorijas ir nesakoptas (netiek savlaicīgi nopļauta zāle, notīrīts sniegs). Ziemas periodā ir svarīgi, lai ietves būtu savlaicīgi atbrīvotas no sniega un tās neslīdētu. Ievērojama daļa personu, kas pārvietojas pa ietvēm ir gados vecāki cilvēki, kuriem pārvietošanās pa nekoptu ietvi sagādā ievērojamas grūtības. Apkārtesošo ainavu bojā arī vidi degradējošas būves</w:t>
            </w:r>
            <w:r w:rsidR="007E2ADD">
              <w:t xml:space="preserve"> </w:t>
            </w:r>
            <w:r w:rsidRPr="00E430D1">
              <w:t>pilsētā un ciemos novada teritorijā.</w:t>
            </w:r>
          </w:p>
          <w:p w14:paraId="197DF2C9" w14:textId="15D7E0AD" w:rsidR="00E430D1" w:rsidRPr="00E430D1" w:rsidRDefault="00E430D1" w:rsidP="00022901">
            <w:pPr>
              <w:spacing w:after="120"/>
              <w:jc w:val="both"/>
            </w:pPr>
            <w:r w:rsidRPr="00E430D1">
              <w:t>1.3. No 2023. gada 1. janvāra spēkā stājās </w:t>
            </w:r>
            <w:hyperlink r:id="rId8" w:tgtFrame="_blank" w:history="1">
              <w:r w:rsidRPr="00E430D1">
                <w:rPr>
                  <w:rStyle w:val="Hipersaite"/>
                  <w:color w:val="auto"/>
                  <w:u w:val="none"/>
                </w:rPr>
                <w:t>Pašvaldību likums</w:t>
              </w:r>
            </w:hyperlink>
            <w:r w:rsidRPr="00E430D1">
              <w:t>. Saistošie noteikumi izstrādāti atbilstoši spēkā esošajam normatīvajam regulējumam. Saskaņā ar </w:t>
            </w:r>
            <w:hyperlink r:id="rId9" w:tgtFrame="_blank" w:history="1">
              <w:r w:rsidRPr="00E430D1">
                <w:rPr>
                  <w:rStyle w:val="Hipersaite"/>
                  <w:color w:val="auto"/>
                  <w:u w:val="none"/>
                </w:rPr>
                <w:t>Pašvaldību likuma</w:t>
              </w:r>
            </w:hyperlink>
            <w:r w:rsidRPr="00E430D1">
              <w:t> </w:t>
            </w:r>
            <w:hyperlink r:id="rId10" w:anchor="p45" w:tgtFrame="_blank" w:history="1">
              <w:r w:rsidRPr="00E430D1">
                <w:rPr>
                  <w:rStyle w:val="Hipersaite"/>
                  <w:color w:val="auto"/>
                  <w:u w:val="none"/>
                </w:rPr>
                <w:t>45.</w:t>
              </w:r>
              <w:r w:rsidR="00022901">
                <w:rPr>
                  <w:rStyle w:val="Hipersaite"/>
                  <w:color w:val="auto"/>
                  <w:u w:val="none"/>
                </w:rPr>
                <w:t> </w:t>
              </w:r>
              <w:r w:rsidRPr="00E430D1">
                <w:rPr>
                  <w:rStyle w:val="Hipersaite"/>
                  <w:color w:val="auto"/>
                  <w:u w:val="none"/>
                </w:rPr>
                <w:t>panta</w:t>
              </w:r>
            </w:hyperlink>
            <w:r w:rsidRPr="00E430D1">
              <w:t> pirmās daļas 3. un 4.</w:t>
            </w:r>
            <w:r w:rsidR="00022901">
              <w:t> </w:t>
            </w:r>
            <w:r w:rsidRPr="00E430D1">
              <w:t xml:space="preserve">punktu </w:t>
            </w:r>
            <w:r w:rsidR="00022901">
              <w:t>un Ministru kabineta 2010. gada 28. septembra noteikumu Nr. 906 „Dzīvojamās mājas sanitārās apkopes noteikumi” 4. punktu</w:t>
            </w:r>
            <w:r w:rsidR="00022901" w:rsidRPr="00E430D1">
              <w:t xml:space="preserve"> </w:t>
            </w:r>
            <w:r w:rsidRPr="00E430D1">
              <w:t xml:space="preserve">dome ir tiesīga izdot saistošos noteikumus un paredzēt administratīvo atbildību par to pārkāpšanu, nosakot administratīvos pārkāpumus un par tiem piemērojamos administratīvos sodus, ja likumos nav noteikts citādi, jautājumos par teritoriju un būvju </w:t>
            </w:r>
            <w:r w:rsidRPr="00E430D1">
              <w:lastRenderedPageBreak/>
              <w:t>uzturēšanu, ciktāl tas saistīts ar sabiedrības drošību, sanitārās tīrības uzturēšanu un pilsētvides ainavas saglabāšanu, par īpašumam piegulošu, publiskā lietošanā nodotu pašvaldības teritoriju (gājēju ietves un zālāji līdz brauktuves malai, izņemot sabiedriskā transporta pieturvietas) kopšanu.</w:t>
            </w:r>
          </w:p>
          <w:p w14:paraId="0FD7D826" w14:textId="368E6F16" w:rsidR="00E430D1" w:rsidRPr="00E430D1" w:rsidRDefault="00E430D1" w:rsidP="00E430D1">
            <w:pPr>
              <w:spacing w:after="120"/>
              <w:jc w:val="both"/>
            </w:pPr>
            <w:r w:rsidRPr="00E430D1">
              <w:t xml:space="preserve">Nepieciešamību izdot šādus saistošos nosaka tas, ka iepriekšējie saistošie noteikumi par teritoriju uzkopšanu ir izdoti uz likuma </w:t>
            </w:r>
            <w:r w:rsidR="00022901" w:rsidRPr="00022901">
              <w:t>„</w:t>
            </w:r>
            <w:hyperlink r:id="rId11" w:tgtFrame="_blank" w:history="1">
              <w:r w:rsidRPr="00E430D1">
                <w:rPr>
                  <w:rStyle w:val="Hipersaite"/>
                  <w:color w:val="auto"/>
                  <w:u w:val="none"/>
                </w:rPr>
                <w:t>Par pašvaldībām</w:t>
              </w:r>
            </w:hyperlink>
            <w:r w:rsidR="00022901">
              <w:t>”</w:t>
            </w:r>
            <w:r w:rsidRPr="00E430D1">
              <w:t xml:space="preserve"> pamata, bet tas ir zaudējis spēku. Tas nozīmē, ka ņemot vērā </w:t>
            </w:r>
            <w:hyperlink r:id="rId12" w:tgtFrame="_blank" w:history="1">
              <w:r w:rsidRPr="00E430D1">
                <w:rPr>
                  <w:rStyle w:val="Hipersaite"/>
                  <w:color w:val="auto"/>
                  <w:u w:val="none"/>
                </w:rPr>
                <w:t>Pašvaldību likuma</w:t>
              </w:r>
            </w:hyperlink>
            <w:r w:rsidRPr="00E430D1">
              <w:t xml:space="preserve"> pārejas noteikumu 6. punktu, </w:t>
            </w:r>
            <w:r w:rsidR="004C20EB">
              <w:t>izvērtē un i</w:t>
            </w:r>
            <w:r w:rsidR="004C20EB" w:rsidRPr="004C20EB">
              <w:t xml:space="preserve">zdod jaunus saistošos noteikumus atbilstoši </w:t>
            </w:r>
            <w:r w:rsidR="004C20EB">
              <w:t>Pašvaldību</w:t>
            </w:r>
            <w:r w:rsidR="004C20EB" w:rsidRPr="004C20EB">
              <w:t xml:space="preserve"> likumā ietvertajam pilnvarojumam</w:t>
            </w:r>
            <w:r w:rsidRPr="00E430D1">
              <w:t>. Vienlaicīgi noteikumi tiek pārskatīti un pilnveidoti, ņemot vērā likumdošanā paredzēto deleģējumu attiecībā uz pašvaldību tiesībām izdot saistošos noteikumus un pašvaldībā esošajām problēmām šajā jomā.</w:t>
            </w:r>
          </w:p>
          <w:p w14:paraId="668BD616" w14:textId="1F89BC6B" w:rsidR="00E430D1" w:rsidRPr="00E430D1" w:rsidRDefault="00E430D1" w:rsidP="00E430D1">
            <w:pPr>
              <w:spacing w:after="120"/>
              <w:jc w:val="both"/>
            </w:pPr>
            <w:r w:rsidRPr="00E430D1">
              <w:t>1.4. Par saistošo noteikumu atsevišķu punktu neievērošanu ir paredzēta administratīvā atbildība – brīdinājums vai naudas sods, ievērojot </w:t>
            </w:r>
            <w:hyperlink r:id="rId13" w:tgtFrame="_blank" w:history="1">
              <w:r w:rsidRPr="00E430D1">
                <w:rPr>
                  <w:rStyle w:val="Hipersaite"/>
                  <w:color w:val="auto"/>
                  <w:u w:val="none"/>
                </w:rPr>
                <w:t>Administratīvās atbildības likumā</w:t>
              </w:r>
            </w:hyperlink>
            <w:r w:rsidRPr="00E430D1">
              <w:t xml:space="preserve"> noteiktos minimālos un maksimālos soda apmērus. Piemērojamā soda apmērs tiks diferencēts atkarībā no pārkāpuma un nodarītā kaitējuma smaguma, ko izvērtēs pašvaldības policijas darbinieks vai Administratīvā </w:t>
            </w:r>
            <w:r w:rsidRPr="004C20EB">
              <w:t xml:space="preserve">komisija </w:t>
            </w:r>
            <w:r w:rsidR="007E2ADD" w:rsidRPr="004C20EB">
              <w:t xml:space="preserve">vai būvinspektors </w:t>
            </w:r>
            <w:r w:rsidRPr="004C20EB">
              <w:t xml:space="preserve">(atkarībā </w:t>
            </w:r>
            <w:r w:rsidRPr="00E430D1">
              <w:t xml:space="preserve">no pārkāptā noteikumu punkta). Nosakot administratīvā soda veidu un mēru, tiks ņemts vērā izdarītā pārkāpuma raksturs, pie atbildības saucamās personas mantiskais stāvoklis, pārkāpuma izdarīšanas apstākļi, atbildību mīkstinošos un pastiprinošos apstākļi. Prasību ēku fasāžu un citu ārējo konstrukciju uzturēšanai pārkāpumus līdz administratīvā pārkāpuma izskatīšanai veic Būvvaldes </w:t>
            </w:r>
            <w:r w:rsidR="007E2ADD">
              <w:t>būvinspektors</w:t>
            </w:r>
            <w:r w:rsidRPr="00E430D1">
              <w:t>. Administratīvā naudas soda piemērošana tiks veikta tikai situācijās, kad aizrādījumi nebūs devuši gaidīto rezultātu.</w:t>
            </w:r>
          </w:p>
          <w:p w14:paraId="7DD5E3C4" w14:textId="5299DDAE" w:rsidR="00C614E4" w:rsidRPr="00637137" w:rsidRDefault="00E430D1" w:rsidP="00C240CA">
            <w:pPr>
              <w:spacing w:after="120"/>
              <w:jc w:val="both"/>
            </w:pPr>
            <w:r w:rsidRPr="00E430D1">
              <w:t xml:space="preserve">Pašvaldība ir paredzējusi arī savu līdzdalību privātajiem īpašumiem blakus esošo teritoriju kopšanā, kas mazina personām radīto apgrūtinājumu. Noteikumos paredzēta pašvaldības līdzdalība īpašumam pieguļošās teritorijas kopšanā. </w:t>
            </w:r>
          </w:p>
        </w:tc>
      </w:tr>
      <w:tr w:rsidR="00C614E4" w:rsidRPr="00313C81" w14:paraId="6E6D6D9D" w14:textId="77777777" w:rsidTr="00EC0FB6">
        <w:tc>
          <w:tcPr>
            <w:tcW w:w="2782" w:type="dxa"/>
            <w:shd w:val="clear" w:color="auto" w:fill="auto"/>
          </w:tcPr>
          <w:p w14:paraId="567D2163" w14:textId="2BFF4A3F" w:rsidR="00C614E4" w:rsidRPr="00313C81" w:rsidRDefault="00C614E4" w:rsidP="00D73FB0">
            <w:r w:rsidRPr="00313C81">
              <w:lastRenderedPageBreak/>
              <w:t>2.</w:t>
            </w:r>
            <w:r w:rsidR="00EC0FB6" w:rsidRPr="00EC0FB6">
              <w:rPr>
                <w:rFonts w:ascii="Arial" w:hAnsi="Arial" w:cs="Arial"/>
                <w:color w:val="414142"/>
                <w:sz w:val="20"/>
                <w:szCs w:val="20"/>
                <w:shd w:val="clear" w:color="auto" w:fill="FFFFFF"/>
              </w:rPr>
              <w:t xml:space="preserve"> </w:t>
            </w:r>
            <w:r w:rsidR="00EC0FB6" w:rsidRPr="00EC0FB6">
              <w:t> Fiskālā ietekme uz pašvaldības budžetu </w:t>
            </w:r>
          </w:p>
        </w:tc>
        <w:tc>
          <w:tcPr>
            <w:tcW w:w="5712" w:type="dxa"/>
            <w:shd w:val="clear" w:color="auto" w:fill="auto"/>
          </w:tcPr>
          <w:p w14:paraId="00D4DD70" w14:textId="42E6AC1F" w:rsidR="002175B1" w:rsidRDefault="003E244B" w:rsidP="003E244B">
            <w:pPr>
              <w:jc w:val="both"/>
            </w:pPr>
            <w:r w:rsidRPr="003E244B">
              <w:t xml:space="preserve">2.1. Saistošo noteikumu īstenošanas fiskālās ietekmes prognoze uz pašvaldības budžetu – </w:t>
            </w:r>
            <w:r w:rsidR="00071CBF">
              <w:t>i</w:t>
            </w:r>
            <w:r w:rsidR="002175B1" w:rsidRPr="002175B1">
              <w:t>zdevumu daļa atkarīga no īpašumam piegulošās publiskā lietošanā esošās teritorij</w:t>
            </w:r>
            <w:r w:rsidR="006260E2">
              <w:t>as</w:t>
            </w:r>
            <w:r w:rsidR="002175B1" w:rsidRPr="002175B1">
              <w:t xml:space="preserve"> </w:t>
            </w:r>
            <w:r w:rsidR="006260E2">
              <w:t>uzturēšanas un kopšanas</w:t>
            </w:r>
            <w:r w:rsidR="002175B1" w:rsidRPr="002175B1">
              <w:t xml:space="preserve"> izmaksām.</w:t>
            </w:r>
          </w:p>
          <w:p w14:paraId="17742FFE" w14:textId="77777777" w:rsidR="003E244B" w:rsidRPr="003E244B" w:rsidRDefault="003E244B" w:rsidP="003E244B">
            <w:pPr>
              <w:jc w:val="both"/>
            </w:pPr>
            <w:r w:rsidRPr="003E244B">
              <w:t>2.2. Pašvaldības budžeta ieņēmumu palielinājumu nav iespējams prognozēt, jo nav paredzams to personu skaits, kurām tiks piemērots administratīvais sods saskaņā ar šiem saistošajiem noteikumiem</w:t>
            </w:r>
            <w:r w:rsidRPr="003E244B">
              <w:rPr>
                <w:i/>
                <w:iCs/>
              </w:rPr>
              <w:t>.</w:t>
            </w:r>
          </w:p>
          <w:p w14:paraId="5F61F0D3" w14:textId="77777777" w:rsidR="003E244B" w:rsidRPr="003E244B" w:rsidRDefault="003E244B" w:rsidP="003E244B">
            <w:pPr>
              <w:jc w:val="both"/>
            </w:pPr>
            <w:r w:rsidRPr="003E244B">
              <w:t>2.3. Nav nepieciešami resursi jaunu institūciju vai darba vietu veidošanai.</w:t>
            </w:r>
          </w:p>
          <w:p w14:paraId="7D061C02" w14:textId="77F582AF" w:rsidR="00C614E4" w:rsidRPr="00313C81" w:rsidRDefault="00C614E4" w:rsidP="00C33E73">
            <w:pPr>
              <w:jc w:val="both"/>
            </w:pPr>
          </w:p>
        </w:tc>
      </w:tr>
      <w:tr w:rsidR="00EC0FB6" w:rsidRPr="00313C81" w14:paraId="66F41993" w14:textId="77777777" w:rsidTr="00EC0FB6">
        <w:tc>
          <w:tcPr>
            <w:tcW w:w="2782" w:type="dxa"/>
            <w:shd w:val="clear" w:color="auto" w:fill="auto"/>
          </w:tcPr>
          <w:p w14:paraId="771307A8" w14:textId="62F9618F" w:rsidR="00EC0FB6" w:rsidRPr="00313C81" w:rsidRDefault="00EC0FB6" w:rsidP="00EC0FB6">
            <w:r>
              <w:lastRenderedPageBreak/>
              <w:t xml:space="preserve">3. </w:t>
            </w:r>
            <w:r w:rsidRPr="009A35F7">
              <w:t xml:space="preserve">Sociālā ietekme, ietekme uz vidi, iedzīvotāju veselību, uzņēmējdarbības vidi pašvaldības teritorijā, kā arī plānotā regulējuma ietekme uz konkurenci </w:t>
            </w:r>
          </w:p>
        </w:tc>
        <w:tc>
          <w:tcPr>
            <w:tcW w:w="5712" w:type="dxa"/>
            <w:shd w:val="clear" w:color="auto" w:fill="auto"/>
          </w:tcPr>
          <w:p w14:paraId="2D9187E8" w14:textId="77777777" w:rsidR="003E244B" w:rsidRPr="003E244B" w:rsidRDefault="003E244B" w:rsidP="003E244B">
            <w:pPr>
              <w:spacing w:after="120"/>
              <w:jc w:val="both"/>
              <w:rPr>
                <w:bCs/>
              </w:rPr>
            </w:pPr>
            <w:r w:rsidRPr="003E244B">
              <w:rPr>
                <w:bCs/>
              </w:rPr>
              <w:t>3.1. Sociālā ietekme – sasitošie noteikumi sekmēs sanitārās tīrības uzturēšanu, teritorijas sakoptību, aizsardzību un pilsētvides ainavas saglabāšanu, tādējādi uzlabojot vides kvalitāti, un tas kopumā pozitīvi ietekmēs pašvaldības iedzīvotāju dzīvesveidu, kultūru, labsajūtu un pašvaldības sabiedrību kopumā, jo ikviens vēlas dzīvot sakoptā un sakārtotā vidē.</w:t>
            </w:r>
          </w:p>
          <w:p w14:paraId="4317A7EC" w14:textId="77777777" w:rsidR="003E244B" w:rsidRPr="003E244B" w:rsidRDefault="003E244B" w:rsidP="003E244B">
            <w:pPr>
              <w:spacing w:after="120"/>
              <w:jc w:val="both"/>
              <w:rPr>
                <w:bCs/>
              </w:rPr>
            </w:pPr>
            <w:r w:rsidRPr="003E244B">
              <w:rPr>
                <w:bCs/>
              </w:rPr>
              <w:t>3.2. Ietekme uz vidi – šo saistošo noteikumu izpilde pozitīvi ietekmēs vides sakopšanu.</w:t>
            </w:r>
          </w:p>
          <w:p w14:paraId="7D91DE00" w14:textId="77777777" w:rsidR="003E244B" w:rsidRPr="003E244B" w:rsidRDefault="003E244B" w:rsidP="003E244B">
            <w:pPr>
              <w:spacing w:after="120"/>
              <w:jc w:val="both"/>
              <w:rPr>
                <w:bCs/>
              </w:rPr>
            </w:pPr>
            <w:r w:rsidRPr="003E244B">
              <w:rPr>
                <w:bCs/>
              </w:rPr>
              <w:t>3.3. Ietekme uz iedzīvotāju veselību – šo saistošo noteikumu izpilde var pozitīvi ietekmēt iedzīvotāju veselību.</w:t>
            </w:r>
          </w:p>
          <w:p w14:paraId="5FFE9AF6" w14:textId="77777777" w:rsidR="003E244B" w:rsidRPr="003E244B" w:rsidRDefault="003E244B" w:rsidP="003E244B">
            <w:pPr>
              <w:spacing w:after="120"/>
              <w:jc w:val="both"/>
              <w:rPr>
                <w:bCs/>
              </w:rPr>
            </w:pPr>
            <w:r w:rsidRPr="003E244B">
              <w:rPr>
                <w:bCs/>
              </w:rPr>
              <w:t>3.4. Ietekme uz uzņēmējdarbības vidi pašvaldības teritorijā – šo saistošo noteikumu izpilde neietekmē uzņēmējdarbības vidi pašvaldības teritorijā.</w:t>
            </w:r>
          </w:p>
          <w:p w14:paraId="3019C054" w14:textId="6960BCC9" w:rsidR="00EC0FB6" w:rsidRPr="007227F3" w:rsidRDefault="003E244B" w:rsidP="00EC0FB6">
            <w:pPr>
              <w:spacing w:after="120"/>
              <w:jc w:val="both"/>
              <w:rPr>
                <w:bCs/>
              </w:rPr>
            </w:pPr>
            <w:r w:rsidRPr="003E244B">
              <w:rPr>
                <w:bCs/>
              </w:rPr>
              <w:t>3.5. Ietekme uz konkurenci – šo saistošo noteikumu izpilde neietekmē konkurenci.</w:t>
            </w:r>
          </w:p>
        </w:tc>
      </w:tr>
      <w:tr w:rsidR="00EC0FB6" w:rsidRPr="00313C81" w14:paraId="531B07BC" w14:textId="77777777" w:rsidTr="00EC0FB6">
        <w:tc>
          <w:tcPr>
            <w:tcW w:w="2782" w:type="dxa"/>
            <w:shd w:val="clear" w:color="auto" w:fill="auto"/>
          </w:tcPr>
          <w:p w14:paraId="3D860C0C" w14:textId="7694CCDA" w:rsidR="00EC0FB6" w:rsidRPr="00313C81" w:rsidRDefault="00EC0FB6" w:rsidP="00EC0FB6">
            <w:r>
              <w:t xml:space="preserve">4. </w:t>
            </w:r>
            <w:r w:rsidR="00E430D1" w:rsidRPr="00E430D1">
              <w:t> Ietekme uz administratīvajām procedūrām un to izmaksām </w:t>
            </w:r>
          </w:p>
        </w:tc>
        <w:tc>
          <w:tcPr>
            <w:tcW w:w="5712" w:type="dxa"/>
            <w:shd w:val="clear" w:color="auto" w:fill="auto"/>
          </w:tcPr>
          <w:p w14:paraId="595377C5" w14:textId="20FD7B55" w:rsidR="00C240CA" w:rsidRPr="00C240CA" w:rsidRDefault="00C240CA" w:rsidP="00C240CA">
            <w:pPr>
              <w:spacing w:after="120"/>
              <w:jc w:val="both"/>
              <w:rPr>
                <w:rFonts w:eastAsia="Calibri"/>
              </w:rPr>
            </w:pPr>
            <w:r w:rsidRPr="00C240CA">
              <w:rPr>
                <w:rFonts w:eastAsia="Calibri"/>
              </w:rPr>
              <w:t xml:space="preserve">4.1. Administratīvā pārkāpuma procesu par noteikumu prasību pārkāpumiem līdz administratīvā pārkāpuma lietas izskatīšanai atkarībā no izskatāmā noteikumu pārkāpuma veic </w:t>
            </w:r>
            <w:r>
              <w:rPr>
                <w:rFonts w:eastAsia="Calibri"/>
              </w:rPr>
              <w:t xml:space="preserve">Līvānu </w:t>
            </w:r>
            <w:r w:rsidRPr="00C240CA">
              <w:rPr>
                <w:rFonts w:eastAsia="Calibri"/>
              </w:rPr>
              <w:t xml:space="preserve">novada </w:t>
            </w:r>
            <w:r w:rsidR="004C20EB">
              <w:rPr>
                <w:rFonts w:eastAsia="Calibri"/>
              </w:rPr>
              <w:t>P</w:t>
            </w:r>
            <w:r w:rsidRPr="00C240CA">
              <w:rPr>
                <w:rFonts w:eastAsia="Calibri"/>
              </w:rPr>
              <w:t xml:space="preserve">ašvaldības policija un </w:t>
            </w:r>
            <w:r>
              <w:rPr>
                <w:rFonts w:eastAsia="Calibri"/>
              </w:rPr>
              <w:t>Līvānu</w:t>
            </w:r>
            <w:r w:rsidRPr="00C240CA">
              <w:rPr>
                <w:rFonts w:eastAsia="Calibri"/>
              </w:rPr>
              <w:t xml:space="preserve"> novada Būvvalde. Šīs arī ir institūcijas, kurās iedzīvotāji var vērsties saistošo noteikumu piemērošanas jautājumos. Administratīvā pārkāpuma lietu izskata </w:t>
            </w:r>
            <w:r>
              <w:rPr>
                <w:rFonts w:eastAsia="Calibri"/>
              </w:rPr>
              <w:t>Līvānu</w:t>
            </w:r>
            <w:r w:rsidRPr="00C240CA">
              <w:rPr>
                <w:rFonts w:eastAsia="Calibri"/>
              </w:rPr>
              <w:t xml:space="preserve"> novada pašvaldības Administratīvā komisija un noteikumos paredzētajos gadījumos </w:t>
            </w:r>
            <w:r w:rsidR="00014794" w:rsidRPr="00014794">
              <w:rPr>
                <w:rFonts w:eastAsia="Calibri"/>
              </w:rPr>
              <w:t>Līvānu novada Būvvalde</w:t>
            </w:r>
            <w:r w:rsidRPr="00C240CA">
              <w:rPr>
                <w:rFonts w:eastAsia="Calibri"/>
              </w:rPr>
              <w:t>.</w:t>
            </w:r>
          </w:p>
          <w:p w14:paraId="7226AC89" w14:textId="77777777" w:rsidR="00C240CA" w:rsidRPr="00C240CA" w:rsidRDefault="00C240CA" w:rsidP="00C240CA">
            <w:pPr>
              <w:spacing w:after="120"/>
              <w:jc w:val="both"/>
              <w:rPr>
                <w:rFonts w:eastAsia="Calibri"/>
              </w:rPr>
            </w:pPr>
            <w:r w:rsidRPr="00C240CA">
              <w:rPr>
                <w:rFonts w:eastAsia="Calibri"/>
              </w:rPr>
              <w:t>4.2. Nav paredzētas papildus administratīvo procedūru izmaksas.</w:t>
            </w:r>
          </w:p>
          <w:p w14:paraId="5A88F48F" w14:textId="3E9AF270" w:rsidR="00EC0FB6" w:rsidRPr="00313C81" w:rsidRDefault="00EC0FB6" w:rsidP="00EC0FB6">
            <w:pPr>
              <w:spacing w:after="120"/>
              <w:jc w:val="both"/>
              <w:rPr>
                <w:b/>
              </w:rPr>
            </w:pPr>
          </w:p>
        </w:tc>
      </w:tr>
      <w:tr w:rsidR="00C614E4" w:rsidRPr="00313C81" w14:paraId="1B98822E" w14:textId="77777777" w:rsidTr="00EC0FB6">
        <w:tc>
          <w:tcPr>
            <w:tcW w:w="2782" w:type="dxa"/>
            <w:shd w:val="clear" w:color="auto" w:fill="auto"/>
          </w:tcPr>
          <w:p w14:paraId="4F04A5D1" w14:textId="0A82305A" w:rsidR="00C614E4" w:rsidRPr="00313C81" w:rsidRDefault="00C614E4" w:rsidP="00D73FB0">
            <w:r w:rsidRPr="00313C81">
              <w:t>5.</w:t>
            </w:r>
            <w:r w:rsidR="00E430D1" w:rsidRPr="00E430D1">
              <w:rPr>
                <w:rFonts w:ascii="Arial" w:hAnsi="Arial" w:cs="Arial"/>
                <w:color w:val="414142"/>
                <w:sz w:val="20"/>
                <w:szCs w:val="20"/>
                <w:shd w:val="clear" w:color="auto" w:fill="FFFFFF"/>
              </w:rPr>
              <w:t xml:space="preserve"> </w:t>
            </w:r>
            <w:r w:rsidR="00E430D1" w:rsidRPr="00E430D1">
              <w:t>Ietekme uz pašvaldības funkcijām un cilvēkresursiem</w:t>
            </w:r>
          </w:p>
        </w:tc>
        <w:tc>
          <w:tcPr>
            <w:tcW w:w="5712" w:type="dxa"/>
            <w:shd w:val="clear" w:color="auto" w:fill="auto"/>
          </w:tcPr>
          <w:p w14:paraId="42C21DB2" w14:textId="7BE50D48" w:rsidR="00C240CA" w:rsidRPr="00C240CA" w:rsidRDefault="00C240CA" w:rsidP="00C240CA">
            <w:pPr>
              <w:spacing w:after="120"/>
              <w:jc w:val="both"/>
              <w:rPr>
                <w:bCs/>
              </w:rPr>
            </w:pPr>
            <w:r w:rsidRPr="00C240CA">
              <w:rPr>
                <w:bCs/>
              </w:rPr>
              <w:t xml:space="preserve">5.1. Saistošie noteikumi nosaka kārtību, kādā </w:t>
            </w:r>
            <w:r>
              <w:rPr>
                <w:bCs/>
              </w:rPr>
              <w:t>Līvānu</w:t>
            </w:r>
            <w:r w:rsidRPr="00C240CA">
              <w:rPr>
                <w:bCs/>
              </w:rPr>
              <w:t xml:space="preserve"> novada pašvaldības administratīvajā teritorijā tiek uzturēta sanitārā tīrība un veikti teritorijas sakopšanas darbi nekustamajiem īpašumiem piegulošās publiskā lietošanā esošās teritorijās, kā arī nosaka prasības, kā tiek uzturētas būves un tām pieguļošās teritorijas. Pašvaldības būvvalde, atbildīgie tehniskie speciālisti un pašvaldības policijas inspektori tiks iesaistīti publiskām teritorijām piegulošo īpašumu apsekošanās, situācijas novērtēšanā un nepieciešamo pasākumu īstenošanā, lai panāktu noteikumos izvirzīto mērķu sasniegšanu.</w:t>
            </w:r>
          </w:p>
          <w:p w14:paraId="2BFA1FFD" w14:textId="77777777" w:rsidR="00C240CA" w:rsidRPr="00C240CA" w:rsidRDefault="00C240CA" w:rsidP="00C240CA">
            <w:pPr>
              <w:spacing w:after="120"/>
              <w:jc w:val="both"/>
              <w:rPr>
                <w:bCs/>
              </w:rPr>
            </w:pPr>
            <w:r w:rsidRPr="00C240CA">
              <w:rPr>
                <w:bCs/>
              </w:rPr>
              <w:t>5.2. Saistošo noteikumu īstenošana neietekmēs Pašvaldībai pieejamos cilvēkresursus, jo nav nepieciešama jaunu institūciju vai darba vietu izveide.</w:t>
            </w:r>
          </w:p>
          <w:p w14:paraId="005A19B2" w14:textId="516FA2B7" w:rsidR="00C614E4" w:rsidRPr="00637137" w:rsidRDefault="00C614E4" w:rsidP="00D73FB0">
            <w:pPr>
              <w:spacing w:after="120"/>
              <w:jc w:val="both"/>
              <w:rPr>
                <w:bCs/>
              </w:rPr>
            </w:pPr>
          </w:p>
        </w:tc>
      </w:tr>
      <w:tr w:rsidR="00C614E4" w:rsidRPr="00313C81" w14:paraId="785E0FC0" w14:textId="77777777" w:rsidTr="00EC0FB6">
        <w:tc>
          <w:tcPr>
            <w:tcW w:w="2782" w:type="dxa"/>
            <w:shd w:val="clear" w:color="auto" w:fill="auto"/>
          </w:tcPr>
          <w:p w14:paraId="44C6E140" w14:textId="2BBB7244" w:rsidR="00C614E4" w:rsidRPr="00313C81" w:rsidRDefault="00C614E4" w:rsidP="00D73FB0">
            <w:r w:rsidRPr="00313C81">
              <w:lastRenderedPageBreak/>
              <w:t>6.</w:t>
            </w:r>
            <w:r w:rsidR="00E430D1" w:rsidRPr="00E430D1">
              <w:rPr>
                <w:rFonts w:ascii="Arial" w:hAnsi="Arial" w:cs="Arial"/>
                <w:color w:val="414142"/>
                <w:sz w:val="20"/>
                <w:szCs w:val="20"/>
                <w:shd w:val="clear" w:color="auto" w:fill="FFFFFF"/>
              </w:rPr>
              <w:t xml:space="preserve"> </w:t>
            </w:r>
            <w:r w:rsidR="00E430D1" w:rsidRPr="00E430D1">
              <w:t>Informācija par izpildes nodrošināšanu </w:t>
            </w:r>
          </w:p>
        </w:tc>
        <w:tc>
          <w:tcPr>
            <w:tcW w:w="5712" w:type="dxa"/>
            <w:shd w:val="clear" w:color="auto" w:fill="auto"/>
          </w:tcPr>
          <w:p w14:paraId="45A8F214" w14:textId="291EC719" w:rsidR="00C240CA" w:rsidRPr="00C240CA" w:rsidRDefault="00C240CA" w:rsidP="00C240CA">
            <w:pPr>
              <w:spacing w:after="120"/>
              <w:jc w:val="both"/>
            </w:pPr>
            <w:r w:rsidRPr="00C240CA">
              <w:t xml:space="preserve">6.1. Izpildi nodrošina </w:t>
            </w:r>
            <w:r>
              <w:t>Līvān</w:t>
            </w:r>
            <w:r w:rsidRPr="00C240CA">
              <w:t>u novada Pašvaldības policijas un Būvvaldes kontrole. Minētās institūcijas sekos, kā šie noteikumi tiek ievēroti un pārkāpumu gadījumā tiks piemēroti administratīvie sodi.</w:t>
            </w:r>
          </w:p>
          <w:p w14:paraId="7D5BC221" w14:textId="77777777" w:rsidR="00C240CA" w:rsidRPr="00C240CA" w:rsidRDefault="00C240CA" w:rsidP="00C240CA">
            <w:pPr>
              <w:spacing w:after="120"/>
              <w:jc w:val="both"/>
            </w:pPr>
            <w:r w:rsidRPr="00C240CA">
              <w:t>6.2. Papildus resursi minēto institūciju darbībai nav nepieciešami.</w:t>
            </w:r>
          </w:p>
          <w:p w14:paraId="1CBC2181" w14:textId="4CA734FF" w:rsidR="00C614E4" w:rsidRPr="00313C81" w:rsidRDefault="00C614E4" w:rsidP="00D73FB0">
            <w:pPr>
              <w:spacing w:after="120"/>
              <w:jc w:val="both"/>
              <w:rPr>
                <w:b/>
              </w:rPr>
            </w:pPr>
          </w:p>
        </w:tc>
      </w:tr>
      <w:tr w:rsidR="00E430D1" w:rsidRPr="00313C81" w14:paraId="78AAC7F0" w14:textId="77777777" w:rsidTr="00EC0FB6">
        <w:tc>
          <w:tcPr>
            <w:tcW w:w="2782" w:type="dxa"/>
            <w:shd w:val="clear" w:color="auto" w:fill="auto"/>
          </w:tcPr>
          <w:p w14:paraId="511A3893" w14:textId="453845A5" w:rsidR="00E430D1" w:rsidRPr="00313C81" w:rsidRDefault="00E430D1" w:rsidP="00D73FB0">
            <w:r w:rsidRPr="00E430D1">
              <w:t>7. Prasību un izmaksu samērīgums pret ieguvumiem, ko sniedz mērķa sasniegšana</w:t>
            </w:r>
          </w:p>
        </w:tc>
        <w:tc>
          <w:tcPr>
            <w:tcW w:w="5712" w:type="dxa"/>
            <w:shd w:val="clear" w:color="auto" w:fill="auto"/>
          </w:tcPr>
          <w:p w14:paraId="5CC7B1F2" w14:textId="77777777" w:rsidR="00C240CA" w:rsidRPr="00C240CA" w:rsidRDefault="00C240CA" w:rsidP="00C240CA">
            <w:pPr>
              <w:spacing w:after="120"/>
              <w:jc w:val="both"/>
            </w:pPr>
            <w:r w:rsidRPr="00C240CA">
              <w:t>7.1. Noteikumi ir piemēroti tajā paredzētā mērķa sasniegšanas nodrošināšanai un paredz tikai to, kas ir vajadzīgs minētā mērķa sasniegšanai. Pašvaldības izraudzītie līdzekļi ir piemēroti leģitīmā mērķa sasniegšanai un tās rīcība ir atbilstoša.</w:t>
            </w:r>
          </w:p>
          <w:p w14:paraId="74028221" w14:textId="77777777" w:rsidR="00C240CA" w:rsidRPr="00C240CA" w:rsidRDefault="00C240CA" w:rsidP="00C240CA">
            <w:pPr>
              <w:spacing w:after="120"/>
              <w:jc w:val="both"/>
            </w:pPr>
            <w:r w:rsidRPr="00C240CA">
              <w:t>7.2. Izdodot saistošos noteikumus, tiks izpildīts Pašvaldības likuma Pārejas noteikumu 6. punktā noteiktais pienākums.</w:t>
            </w:r>
          </w:p>
          <w:p w14:paraId="75F95124" w14:textId="77777777" w:rsidR="00E430D1" w:rsidRDefault="00E430D1" w:rsidP="00D73FB0">
            <w:pPr>
              <w:spacing w:after="120"/>
              <w:jc w:val="both"/>
            </w:pPr>
          </w:p>
        </w:tc>
      </w:tr>
      <w:tr w:rsidR="00E430D1" w:rsidRPr="00313C81" w14:paraId="3DAA9838" w14:textId="77777777" w:rsidTr="00EC0FB6">
        <w:tc>
          <w:tcPr>
            <w:tcW w:w="2782" w:type="dxa"/>
            <w:shd w:val="clear" w:color="auto" w:fill="auto"/>
          </w:tcPr>
          <w:p w14:paraId="7E49A4C8" w14:textId="6EC1F145" w:rsidR="00E430D1" w:rsidRPr="00313C81" w:rsidRDefault="00E430D1" w:rsidP="00D73FB0">
            <w:r w:rsidRPr="00E430D1">
              <w:t>8. Izstrādes gaitā veiktās konsultācijas ar privātpersonām un institūcijām</w:t>
            </w:r>
          </w:p>
        </w:tc>
        <w:tc>
          <w:tcPr>
            <w:tcW w:w="5712" w:type="dxa"/>
            <w:shd w:val="clear" w:color="auto" w:fill="auto"/>
          </w:tcPr>
          <w:p w14:paraId="430FF294" w14:textId="777B6511" w:rsidR="00C240CA" w:rsidRPr="00C240CA" w:rsidRDefault="00C240CA" w:rsidP="00C240CA">
            <w:pPr>
              <w:spacing w:after="120"/>
              <w:jc w:val="both"/>
            </w:pPr>
            <w:r w:rsidRPr="00C240CA">
              <w:t xml:space="preserve">8.1. Konsultācijas ar sabiedrības pārstāvjiem saistošo noteikumu izstrādes procesā nav notikušas. Konsultācijas ir notikušas ar </w:t>
            </w:r>
            <w:r>
              <w:t>Līvānu</w:t>
            </w:r>
            <w:r w:rsidRPr="00C240CA">
              <w:t xml:space="preserve"> novada Pašvaldības policiju un Būvvaldi.</w:t>
            </w:r>
          </w:p>
          <w:p w14:paraId="6A4394A6" w14:textId="49B7A52C" w:rsidR="00E430D1" w:rsidRDefault="00C240CA" w:rsidP="00D73FB0">
            <w:pPr>
              <w:spacing w:after="120"/>
              <w:jc w:val="both"/>
            </w:pPr>
            <w:r w:rsidRPr="00C240CA">
              <w:t>8.2. Atbilstoši </w:t>
            </w:r>
            <w:hyperlink r:id="rId14" w:tgtFrame="_blank" w:history="1">
              <w:r w:rsidRPr="00C240CA">
                <w:rPr>
                  <w:rStyle w:val="Hipersaite"/>
                  <w:color w:val="auto"/>
                </w:rPr>
                <w:t>Pašvaldību likuma</w:t>
              </w:r>
            </w:hyperlink>
            <w:r w:rsidRPr="00C240CA">
              <w:rPr>
                <w:u w:val="single"/>
              </w:rPr>
              <w:t> </w:t>
            </w:r>
            <w:hyperlink r:id="rId15" w:anchor="p46" w:tgtFrame="_blank" w:history="1">
              <w:r w:rsidRPr="00C240CA">
                <w:rPr>
                  <w:rStyle w:val="Hipersaite"/>
                  <w:color w:val="auto"/>
                </w:rPr>
                <w:t>46. panta</w:t>
              </w:r>
            </w:hyperlink>
            <w:r w:rsidRPr="00C240CA">
              <w:t xml:space="preserve"> trešajā daļā noteiktajam, saistošo noteikumu projekts tika publicēts </w:t>
            </w:r>
            <w:r>
              <w:t>Līvānu</w:t>
            </w:r>
            <w:r w:rsidRPr="00C240CA">
              <w:t xml:space="preserve"> novada pašvaldības oficiālajā tīmekļvietnē divas </w:t>
            </w:r>
            <w:r w:rsidRPr="004C20EB">
              <w:t>nedēļas (no 2024.</w:t>
            </w:r>
            <w:r w:rsidR="004C20EB">
              <w:t> </w:t>
            </w:r>
            <w:r w:rsidRPr="004C20EB">
              <w:t xml:space="preserve">gada </w:t>
            </w:r>
            <w:r w:rsidR="004C20EB">
              <w:t xml:space="preserve">2. jūlija </w:t>
            </w:r>
            <w:r w:rsidRPr="004C20EB">
              <w:t>līdz 2024.</w:t>
            </w:r>
            <w:r w:rsidR="004C20EB">
              <w:t> </w:t>
            </w:r>
            <w:r w:rsidRPr="004C20EB">
              <w:t>gada</w:t>
            </w:r>
            <w:r w:rsidR="004C20EB">
              <w:t xml:space="preserve"> 15. jūlijam </w:t>
            </w:r>
            <w:r w:rsidRPr="004C20EB">
              <w:t>).</w:t>
            </w:r>
            <w:r w:rsidR="004C20EB">
              <w:t xml:space="preserve"> P</w:t>
            </w:r>
            <w:r w:rsidR="004C20EB" w:rsidRPr="004C20EB">
              <w:t>rivātpersonu ierosinājumi ir/nav saņemti.</w:t>
            </w:r>
          </w:p>
        </w:tc>
      </w:tr>
    </w:tbl>
    <w:p w14:paraId="4B8F3A4D" w14:textId="77777777" w:rsidR="00C614E4" w:rsidRPr="00313C81" w:rsidRDefault="00C614E4" w:rsidP="00C614E4">
      <w:pPr>
        <w:rPr>
          <w:rFonts w:ascii="Calibri" w:eastAsia="Calibri" w:hAnsi="Calibri"/>
        </w:rPr>
      </w:pPr>
    </w:p>
    <w:p w14:paraId="50BC780F" w14:textId="3F3766BA" w:rsidR="00C614E4" w:rsidRPr="00313C81" w:rsidRDefault="00C614E4" w:rsidP="00C614E4">
      <w:pPr>
        <w:rPr>
          <w:rFonts w:eastAsia="Calibri"/>
        </w:rPr>
      </w:pPr>
      <w:r w:rsidRPr="00313C81">
        <w:rPr>
          <w:rFonts w:eastAsia="Calibri"/>
        </w:rPr>
        <w:t>Priekšsēdētāj</w:t>
      </w:r>
      <w:r>
        <w:rPr>
          <w:rFonts w:eastAsia="Calibri"/>
        </w:rPr>
        <w:t xml:space="preserve">s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w:t>
      </w:r>
      <w:r w:rsidR="003E244B">
        <w:rPr>
          <w:rFonts w:eastAsia="Calibri"/>
        </w:rPr>
        <w:t xml:space="preserve"> </w:t>
      </w:r>
      <w:r>
        <w:rPr>
          <w:rFonts w:eastAsia="Calibri"/>
        </w:rPr>
        <w:t>Vaivods</w:t>
      </w:r>
    </w:p>
    <w:sectPr w:rsidR="00C614E4" w:rsidRPr="00313C81" w:rsidSect="0024472E">
      <w:footerReference w:type="default" r:id="rId16"/>
      <w:pgSz w:w="11906" w:h="16838"/>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A6214" w14:textId="77777777" w:rsidR="0024472E" w:rsidRDefault="0024472E" w:rsidP="0024472E">
      <w:r>
        <w:separator/>
      </w:r>
    </w:p>
  </w:endnote>
  <w:endnote w:type="continuationSeparator" w:id="0">
    <w:p w14:paraId="3688CAAF" w14:textId="77777777" w:rsidR="0024472E" w:rsidRDefault="0024472E" w:rsidP="0024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9295199"/>
      <w:docPartObj>
        <w:docPartGallery w:val="Page Numbers (Bottom of Page)"/>
        <w:docPartUnique/>
      </w:docPartObj>
    </w:sdtPr>
    <w:sdtContent>
      <w:p w14:paraId="40D0A8BA" w14:textId="63888AE8" w:rsidR="0024472E" w:rsidRDefault="0024472E">
        <w:pPr>
          <w:pStyle w:val="Kjene"/>
          <w:jc w:val="center"/>
        </w:pPr>
        <w:r>
          <w:fldChar w:fldCharType="begin"/>
        </w:r>
        <w:r>
          <w:instrText>PAGE   \* MERGEFORMAT</w:instrText>
        </w:r>
        <w:r>
          <w:fldChar w:fldCharType="separate"/>
        </w:r>
        <w:r>
          <w:t>2</w:t>
        </w:r>
        <w:r>
          <w:fldChar w:fldCharType="end"/>
        </w:r>
      </w:p>
    </w:sdtContent>
  </w:sdt>
  <w:p w14:paraId="74A9BFD2" w14:textId="77777777" w:rsidR="0024472E" w:rsidRDefault="0024472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140E" w14:textId="77777777" w:rsidR="0024472E" w:rsidRDefault="0024472E" w:rsidP="0024472E">
      <w:r>
        <w:separator/>
      </w:r>
    </w:p>
  </w:footnote>
  <w:footnote w:type="continuationSeparator" w:id="0">
    <w:p w14:paraId="71165B71" w14:textId="77777777" w:rsidR="0024472E" w:rsidRDefault="0024472E" w:rsidP="002447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520ED"/>
    <w:multiLevelType w:val="multilevel"/>
    <w:tmpl w:val="2FD67EF0"/>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4A4269"/>
    <w:multiLevelType w:val="multilevel"/>
    <w:tmpl w:val="5CFCCDDA"/>
    <w:lvl w:ilvl="0">
      <w:start w:val="1"/>
      <w:numFmt w:val="decimal"/>
      <w:lvlText w:val="%1."/>
      <w:lvlJc w:val="left"/>
      <w:pPr>
        <w:ind w:left="720" w:hanging="360"/>
      </w:pPr>
      <w:rPr>
        <w:rFonts w:hint="default"/>
      </w:rPr>
    </w:lvl>
    <w:lvl w:ilvl="1">
      <w:start w:val="1"/>
      <w:numFmt w:val="decimal"/>
      <w:isLgl/>
      <w:lvlText w:val="%1.%2."/>
      <w:lvlJc w:val="left"/>
      <w:pPr>
        <w:ind w:left="1018" w:hanging="450"/>
      </w:pPr>
      <w:rPr>
        <w:rFonts w:hint="default"/>
        <w:strike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86172804">
    <w:abstractNumId w:val="1"/>
  </w:num>
  <w:num w:numId="2" w16cid:durableId="156444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7A4"/>
    <w:rsid w:val="00002411"/>
    <w:rsid w:val="00014794"/>
    <w:rsid w:val="00022901"/>
    <w:rsid w:val="00071CBF"/>
    <w:rsid w:val="000C2A1E"/>
    <w:rsid w:val="000D02C1"/>
    <w:rsid w:val="000F39BA"/>
    <w:rsid w:val="00166E54"/>
    <w:rsid w:val="00184696"/>
    <w:rsid w:val="001B1DF9"/>
    <w:rsid w:val="001C6D59"/>
    <w:rsid w:val="001F61AF"/>
    <w:rsid w:val="002175B1"/>
    <w:rsid w:val="0024472E"/>
    <w:rsid w:val="0034459D"/>
    <w:rsid w:val="0037667A"/>
    <w:rsid w:val="00395171"/>
    <w:rsid w:val="003C298A"/>
    <w:rsid w:val="003D0DAA"/>
    <w:rsid w:val="003E244B"/>
    <w:rsid w:val="00425B95"/>
    <w:rsid w:val="004277CE"/>
    <w:rsid w:val="004406AC"/>
    <w:rsid w:val="00444884"/>
    <w:rsid w:val="00484991"/>
    <w:rsid w:val="004C20EB"/>
    <w:rsid w:val="004F5422"/>
    <w:rsid w:val="005614F8"/>
    <w:rsid w:val="005617A4"/>
    <w:rsid w:val="005B5693"/>
    <w:rsid w:val="005D11FC"/>
    <w:rsid w:val="005D7B51"/>
    <w:rsid w:val="00605393"/>
    <w:rsid w:val="006260E2"/>
    <w:rsid w:val="00661BD0"/>
    <w:rsid w:val="0067320D"/>
    <w:rsid w:val="00686EA5"/>
    <w:rsid w:val="006C6EE1"/>
    <w:rsid w:val="006F1595"/>
    <w:rsid w:val="007227F3"/>
    <w:rsid w:val="00734DD3"/>
    <w:rsid w:val="007B70B9"/>
    <w:rsid w:val="007E2ADD"/>
    <w:rsid w:val="007E339C"/>
    <w:rsid w:val="007F04C9"/>
    <w:rsid w:val="00911D9F"/>
    <w:rsid w:val="009660CE"/>
    <w:rsid w:val="0097464E"/>
    <w:rsid w:val="009962E8"/>
    <w:rsid w:val="00A74D69"/>
    <w:rsid w:val="00A87834"/>
    <w:rsid w:val="00A905FF"/>
    <w:rsid w:val="00AA1EAA"/>
    <w:rsid w:val="00AE0F1A"/>
    <w:rsid w:val="00AF7ADE"/>
    <w:rsid w:val="00B03EEB"/>
    <w:rsid w:val="00B605B3"/>
    <w:rsid w:val="00B9783E"/>
    <w:rsid w:val="00BE0AD3"/>
    <w:rsid w:val="00C16444"/>
    <w:rsid w:val="00C240CA"/>
    <w:rsid w:val="00C33E73"/>
    <w:rsid w:val="00C614E4"/>
    <w:rsid w:val="00CA0B37"/>
    <w:rsid w:val="00CE4B1E"/>
    <w:rsid w:val="00CF049D"/>
    <w:rsid w:val="00D06D3C"/>
    <w:rsid w:val="00D6463F"/>
    <w:rsid w:val="00E430D1"/>
    <w:rsid w:val="00E44CF7"/>
    <w:rsid w:val="00E51F32"/>
    <w:rsid w:val="00EC0FB6"/>
    <w:rsid w:val="00EC2519"/>
    <w:rsid w:val="00EE4548"/>
    <w:rsid w:val="00EF36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2EC7"/>
  <w15:chartTrackingRefBased/>
  <w15:docId w15:val="{6F724BEB-A825-484F-B820-12D2E6405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39BA"/>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5617A4"/>
  </w:style>
  <w:style w:type="paragraph" w:styleId="Nosaukums">
    <w:name w:val="Title"/>
    <w:basedOn w:val="Parasts"/>
    <w:link w:val="NosaukumsRakstz"/>
    <w:qFormat/>
    <w:rsid w:val="005617A4"/>
    <w:pPr>
      <w:jc w:val="center"/>
    </w:pPr>
    <w:rPr>
      <w:b/>
      <w:bCs/>
      <w:szCs w:val="20"/>
      <w:lang w:eastAsia="en-US"/>
    </w:rPr>
  </w:style>
  <w:style w:type="character" w:customStyle="1" w:styleId="NosaukumsRakstz">
    <w:name w:val="Nosaukums Rakstz."/>
    <w:basedOn w:val="Noklusjumarindkopasfonts"/>
    <w:link w:val="Nosaukums"/>
    <w:rsid w:val="005617A4"/>
    <w:rPr>
      <w:rFonts w:ascii="Times New Roman" w:eastAsia="Times New Roman" w:hAnsi="Times New Roman" w:cs="Times New Roman"/>
      <w:b/>
      <w:bCs/>
      <w:sz w:val="24"/>
      <w:szCs w:val="20"/>
    </w:rPr>
  </w:style>
  <w:style w:type="character" w:styleId="Hipersaite">
    <w:name w:val="Hyperlink"/>
    <w:uiPriority w:val="99"/>
    <w:unhideWhenUsed/>
    <w:rsid w:val="005617A4"/>
    <w:rPr>
      <w:color w:val="0000FF"/>
      <w:u w:val="single"/>
    </w:rPr>
  </w:style>
  <w:style w:type="paragraph" w:customStyle="1" w:styleId="tvhtml">
    <w:name w:val="tv_html"/>
    <w:basedOn w:val="Parasts"/>
    <w:rsid w:val="00CA0B37"/>
    <w:pPr>
      <w:spacing w:before="100" w:beforeAutospacing="1" w:after="100" w:afterAutospacing="1"/>
    </w:pPr>
  </w:style>
  <w:style w:type="paragraph" w:styleId="Sarakstarindkopa">
    <w:name w:val="List Paragraph"/>
    <w:basedOn w:val="Parasts"/>
    <w:uiPriority w:val="34"/>
    <w:qFormat/>
    <w:rsid w:val="00B605B3"/>
    <w:pPr>
      <w:ind w:left="720"/>
      <w:contextualSpacing/>
    </w:pPr>
  </w:style>
  <w:style w:type="character" w:styleId="Neatrisintapieminana">
    <w:name w:val="Unresolved Mention"/>
    <w:basedOn w:val="Noklusjumarindkopasfonts"/>
    <w:uiPriority w:val="99"/>
    <w:semiHidden/>
    <w:unhideWhenUsed/>
    <w:rsid w:val="00E51F32"/>
    <w:rPr>
      <w:color w:val="605E5C"/>
      <w:shd w:val="clear" w:color="auto" w:fill="E1DFDD"/>
    </w:rPr>
  </w:style>
  <w:style w:type="paragraph" w:styleId="Galvene">
    <w:name w:val="header"/>
    <w:basedOn w:val="Parasts"/>
    <w:link w:val="GalveneRakstz"/>
    <w:uiPriority w:val="99"/>
    <w:unhideWhenUsed/>
    <w:rsid w:val="0024472E"/>
    <w:pPr>
      <w:tabs>
        <w:tab w:val="center" w:pos="4153"/>
        <w:tab w:val="right" w:pos="8306"/>
      </w:tabs>
    </w:pPr>
  </w:style>
  <w:style w:type="character" w:customStyle="1" w:styleId="GalveneRakstz">
    <w:name w:val="Galvene Rakstz."/>
    <w:basedOn w:val="Noklusjumarindkopasfonts"/>
    <w:link w:val="Galvene"/>
    <w:uiPriority w:val="99"/>
    <w:rsid w:val="0024472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4472E"/>
    <w:pPr>
      <w:tabs>
        <w:tab w:val="center" w:pos="4153"/>
        <w:tab w:val="right" w:pos="8306"/>
      </w:tabs>
    </w:pPr>
  </w:style>
  <w:style w:type="character" w:customStyle="1" w:styleId="KjeneRakstz">
    <w:name w:val="Kājene Rakstz."/>
    <w:basedOn w:val="Noklusjumarindkopasfonts"/>
    <w:link w:val="Kjene"/>
    <w:uiPriority w:val="99"/>
    <w:rsid w:val="0024472E"/>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2223">
      <w:bodyDiv w:val="1"/>
      <w:marLeft w:val="0"/>
      <w:marRight w:val="0"/>
      <w:marTop w:val="0"/>
      <w:marBottom w:val="0"/>
      <w:divBdr>
        <w:top w:val="none" w:sz="0" w:space="0" w:color="auto"/>
        <w:left w:val="none" w:sz="0" w:space="0" w:color="auto"/>
        <w:bottom w:val="none" w:sz="0" w:space="0" w:color="auto"/>
        <w:right w:val="none" w:sz="0" w:space="0" w:color="auto"/>
      </w:divBdr>
    </w:div>
    <w:div w:id="390808451">
      <w:bodyDiv w:val="1"/>
      <w:marLeft w:val="0"/>
      <w:marRight w:val="0"/>
      <w:marTop w:val="0"/>
      <w:marBottom w:val="0"/>
      <w:divBdr>
        <w:top w:val="none" w:sz="0" w:space="0" w:color="auto"/>
        <w:left w:val="none" w:sz="0" w:space="0" w:color="auto"/>
        <w:bottom w:val="none" w:sz="0" w:space="0" w:color="auto"/>
        <w:right w:val="none" w:sz="0" w:space="0" w:color="auto"/>
      </w:divBdr>
    </w:div>
    <w:div w:id="395972965">
      <w:bodyDiv w:val="1"/>
      <w:marLeft w:val="0"/>
      <w:marRight w:val="0"/>
      <w:marTop w:val="0"/>
      <w:marBottom w:val="0"/>
      <w:divBdr>
        <w:top w:val="none" w:sz="0" w:space="0" w:color="auto"/>
        <w:left w:val="none" w:sz="0" w:space="0" w:color="auto"/>
        <w:bottom w:val="none" w:sz="0" w:space="0" w:color="auto"/>
        <w:right w:val="none" w:sz="0" w:space="0" w:color="auto"/>
      </w:divBdr>
    </w:div>
    <w:div w:id="582299069">
      <w:bodyDiv w:val="1"/>
      <w:marLeft w:val="0"/>
      <w:marRight w:val="0"/>
      <w:marTop w:val="0"/>
      <w:marBottom w:val="0"/>
      <w:divBdr>
        <w:top w:val="none" w:sz="0" w:space="0" w:color="auto"/>
        <w:left w:val="none" w:sz="0" w:space="0" w:color="auto"/>
        <w:bottom w:val="none" w:sz="0" w:space="0" w:color="auto"/>
        <w:right w:val="none" w:sz="0" w:space="0" w:color="auto"/>
      </w:divBdr>
    </w:div>
    <w:div w:id="633752568">
      <w:bodyDiv w:val="1"/>
      <w:marLeft w:val="0"/>
      <w:marRight w:val="0"/>
      <w:marTop w:val="0"/>
      <w:marBottom w:val="0"/>
      <w:divBdr>
        <w:top w:val="none" w:sz="0" w:space="0" w:color="auto"/>
        <w:left w:val="none" w:sz="0" w:space="0" w:color="auto"/>
        <w:bottom w:val="none" w:sz="0" w:space="0" w:color="auto"/>
        <w:right w:val="none" w:sz="0" w:space="0" w:color="auto"/>
      </w:divBdr>
    </w:div>
    <w:div w:id="919291483">
      <w:bodyDiv w:val="1"/>
      <w:marLeft w:val="0"/>
      <w:marRight w:val="0"/>
      <w:marTop w:val="0"/>
      <w:marBottom w:val="0"/>
      <w:divBdr>
        <w:top w:val="none" w:sz="0" w:space="0" w:color="auto"/>
        <w:left w:val="none" w:sz="0" w:space="0" w:color="auto"/>
        <w:bottom w:val="none" w:sz="0" w:space="0" w:color="auto"/>
        <w:right w:val="none" w:sz="0" w:space="0" w:color="auto"/>
      </w:divBdr>
    </w:div>
    <w:div w:id="1331375204">
      <w:bodyDiv w:val="1"/>
      <w:marLeft w:val="0"/>
      <w:marRight w:val="0"/>
      <w:marTop w:val="0"/>
      <w:marBottom w:val="0"/>
      <w:divBdr>
        <w:top w:val="none" w:sz="0" w:space="0" w:color="auto"/>
        <w:left w:val="none" w:sz="0" w:space="0" w:color="auto"/>
        <w:bottom w:val="none" w:sz="0" w:space="0" w:color="auto"/>
        <w:right w:val="none" w:sz="0" w:space="0" w:color="auto"/>
      </w:divBdr>
    </w:div>
    <w:div w:id="1335185020">
      <w:bodyDiv w:val="1"/>
      <w:marLeft w:val="0"/>
      <w:marRight w:val="0"/>
      <w:marTop w:val="0"/>
      <w:marBottom w:val="0"/>
      <w:divBdr>
        <w:top w:val="none" w:sz="0" w:space="0" w:color="auto"/>
        <w:left w:val="none" w:sz="0" w:space="0" w:color="auto"/>
        <w:bottom w:val="none" w:sz="0" w:space="0" w:color="auto"/>
        <w:right w:val="none" w:sz="0" w:space="0" w:color="auto"/>
      </w:divBdr>
    </w:div>
    <w:div w:id="2072925650">
      <w:bodyDiv w:val="1"/>
      <w:marLeft w:val="0"/>
      <w:marRight w:val="0"/>
      <w:marTop w:val="0"/>
      <w:marBottom w:val="0"/>
      <w:divBdr>
        <w:top w:val="none" w:sz="0" w:space="0" w:color="auto"/>
        <w:left w:val="none" w:sz="0" w:space="0" w:color="auto"/>
        <w:bottom w:val="none" w:sz="0" w:space="0" w:color="auto"/>
        <w:right w:val="none" w:sz="0" w:space="0" w:color="auto"/>
      </w:divBdr>
    </w:div>
    <w:div w:id="2080205005">
      <w:bodyDiv w:val="1"/>
      <w:marLeft w:val="0"/>
      <w:marRight w:val="0"/>
      <w:marTop w:val="0"/>
      <w:marBottom w:val="0"/>
      <w:divBdr>
        <w:top w:val="none" w:sz="0" w:space="0" w:color="auto"/>
        <w:left w:val="none" w:sz="0" w:space="0" w:color="auto"/>
        <w:bottom w:val="none" w:sz="0" w:space="0" w:color="auto"/>
        <w:right w:val="none" w:sz="0" w:space="0" w:color="auto"/>
      </w:divBdr>
    </w:div>
    <w:div w:id="209481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13" Type="http://schemas.openxmlformats.org/officeDocument/2006/relationships/hyperlink" Target="https://likumi.lv/ta/id/303007-administrativas-atbildibas-likum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336956-pasvaldibu-likum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57255-par-pasvaldibam" TargetMode="External"/><Relationship Id="rId5" Type="http://schemas.openxmlformats.org/officeDocument/2006/relationships/footnotes" Target="footnote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36956-pasvaldibu-likums"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4</Pages>
  <Words>5742</Words>
  <Characters>3273</Characters>
  <Application>Microsoft Office Word</Application>
  <DocSecurity>0</DocSecurity>
  <Lines>27</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Dumbrovska</dc:creator>
  <cp:keywords/>
  <dc:description/>
  <cp:lastModifiedBy>Inga Narvida</cp:lastModifiedBy>
  <cp:revision>12</cp:revision>
  <dcterms:created xsi:type="dcterms:W3CDTF">2024-06-03T13:56:00Z</dcterms:created>
  <dcterms:modified xsi:type="dcterms:W3CDTF">2024-07-01T13:25:00Z</dcterms:modified>
</cp:coreProperties>
</file>